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70ED0" w14:textId="659A04D1"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C14DCC">
        <w:t>WPSDG</w:t>
      </w:r>
      <w:r w:rsidR="00A854EE">
        <w:t>EREHC0032</w:t>
      </w:r>
    </w:p>
    <w:p w14:paraId="2290248B" w14:textId="120AAF1D" w:rsidR="00E6385A" w:rsidRPr="00500C4E" w:rsidRDefault="00E6385A" w:rsidP="00F117C6">
      <w:pPr>
        <w:pStyle w:val="WPnumber"/>
      </w:pPr>
      <w:r>
        <w:tab/>
      </w:r>
      <w:r w:rsidR="000E19CA">
        <w:rPr>
          <w:rStyle w:val="CaptionChar"/>
          <w:b/>
          <w:bCs w:val="0"/>
        </w:rPr>
        <w:t xml:space="preserve">Revision </w:t>
      </w:r>
      <w:r w:rsidR="00BA1B6B">
        <w:rPr>
          <w:rStyle w:val="CaptionChar"/>
          <w:b/>
          <w:bCs w:val="0"/>
        </w:rPr>
        <w:t>0</w:t>
      </w:r>
      <w:r w:rsidR="00F00743">
        <w:rPr>
          <w:rStyle w:val="CaptionChar"/>
          <w:b/>
          <w:bCs w:val="0"/>
        </w:rPr>
        <w:t>.1</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0E771651" w14:textId="77777777" w:rsidR="000E19CA" w:rsidRDefault="006374F1" w:rsidP="000E19CA">
      <w:pPr>
        <w:jc w:val="right"/>
        <w:rPr>
          <w:rFonts w:cstheme="minorHAnsi"/>
          <w:b/>
          <w:sz w:val="28"/>
          <w:szCs w:val="28"/>
        </w:rPr>
      </w:pPr>
      <w:r>
        <w:rPr>
          <w:rFonts w:cstheme="minorHAnsi"/>
          <w:b/>
          <w:sz w:val="72"/>
          <w:szCs w:val="72"/>
        </w:rPr>
        <w:t>Refrigerant Charge Adjustment</w:t>
      </w:r>
    </w:p>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443DA700" w14:textId="77777777" w:rsidR="000E19CA" w:rsidRDefault="000E19CA" w:rsidP="000E19CA">
      <w:pPr>
        <w:jc w:val="right"/>
        <w:rPr>
          <w:rFonts w:cstheme="minorHAnsi"/>
          <w:b/>
          <w:sz w:val="28"/>
          <w:szCs w:val="28"/>
        </w:rPr>
      </w:pPr>
    </w:p>
    <w:p w14:paraId="0C3C8FC8" w14:textId="77777777" w:rsidR="000E19CA" w:rsidRDefault="000E19CA" w:rsidP="000E19CA">
      <w:pPr>
        <w:jc w:val="right"/>
        <w:rPr>
          <w:rFonts w:cstheme="minorHAnsi"/>
          <w:b/>
          <w:sz w:val="28"/>
          <w:szCs w:val="28"/>
        </w:rPr>
      </w:pPr>
    </w:p>
    <w:p w14:paraId="0A64AAE6" w14:textId="53A180D9" w:rsidR="00E372B8" w:rsidRDefault="00F00743" w:rsidP="00241A1F">
      <w:pPr>
        <w:jc w:val="right"/>
        <w:rPr>
          <w:rFonts w:cstheme="minorHAnsi"/>
          <w:b/>
          <w:sz w:val="28"/>
          <w:szCs w:val="28"/>
        </w:rPr>
      </w:pPr>
      <w:r>
        <w:rPr>
          <w:rFonts w:cstheme="minorHAnsi"/>
          <w:b/>
          <w:sz w:val="28"/>
          <w:szCs w:val="28"/>
        </w:rPr>
        <w:t>February</w:t>
      </w:r>
      <w:r w:rsidR="00870139">
        <w:rPr>
          <w:rFonts w:cstheme="minorHAnsi"/>
          <w:b/>
          <w:sz w:val="28"/>
          <w:szCs w:val="28"/>
        </w:rPr>
        <w:t xml:space="preserve"> </w:t>
      </w:r>
      <w:r>
        <w:rPr>
          <w:rFonts w:cstheme="minorHAnsi"/>
          <w:b/>
          <w:sz w:val="28"/>
          <w:szCs w:val="28"/>
        </w:rPr>
        <w:t>28</w:t>
      </w:r>
      <w:r w:rsidR="00C75814">
        <w:rPr>
          <w:rFonts w:cstheme="minorHAnsi"/>
          <w:b/>
          <w:sz w:val="28"/>
          <w:szCs w:val="28"/>
        </w:rPr>
        <w:t>, 201</w:t>
      </w:r>
      <w:r>
        <w:rPr>
          <w:rFonts w:cstheme="minorHAnsi"/>
          <w:b/>
          <w:sz w:val="28"/>
          <w:szCs w:val="28"/>
        </w:rPr>
        <w:t>8</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DDE8967" w14:textId="77777777" w:rsidR="00FE520B" w:rsidRPr="006374F1" w:rsidRDefault="0059117D" w:rsidP="00FE520B">
      <w:pPr>
        <w:pStyle w:val="Heading1"/>
        <w:rPr>
          <w:szCs w:val="36"/>
        </w:rPr>
      </w:pPr>
      <w:r w:rsidRPr="006374F1">
        <w:rPr>
          <w:szCs w:val="36"/>
        </w:rPr>
        <w:lastRenderedPageBreak/>
        <w:t xml:space="preserve">SDG&amp;E </w:t>
      </w:r>
      <w:r w:rsidR="006374F1" w:rsidRPr="006374F1">
        <w:rPr>
          <w:rFonts w:cstheme="minorHAnsi"/>
          <w:szCs w:val="36"/>
        </w:rPr>
        <w:t>Refrigerant Charge Adjustment</w:t>
      </w:r>
      <w:r w:rsidR="00884B9C" w:rsidRPr="006374F1">
        <w:rPr>
          <w:szCs w:val="36"/>
        </w:rPr>
        <w:t xml:space="preserve"> </w:t>
      </w:r>
    </w:p>
    <w:p w14:paraId="6D4A1719" w14:textId="77777777" w:rsidR="00413EF4" w:rsidRDefault="00413EF4" w:rsidP="00413EF4">
      <w:pPr>
        <w:pStyle w:val="Heading2"/>
      </w:pPr>
      <w:r>
        <w:t>Introduction</w:t>
      </w:r>
    </w:p>
    <w:p w14:paraId="4E64FC63" w14:textId="67E325C1" w:rsidR="003E035B" w:rsidRPr="005D0DA1" w:rsidRDefault="00C23CAB" w:rsidP="005248E2">
      <w:pPr>
        <w:jc w:val="both"/>
        <w:rPr>
          <w:sz w:val="20"/>
          <w:szCs w:val="20"/>
        </w:rPr>
      </w:pPr>
      <w:r w:rsidRPr="005D0DA1">
        <w:rPr>
          <w:sz w:val="20"/>
          <w:szCs w:val="20"/>
        </w:rPr>
        <w:t>Thi</w:t>
      </w:r>
      <w:r w:rsidR="00AE4353" w:rsidRPr="005D0DA1">
        <w:rPr>
          <w:sz w:val="20"/>
          <w:szCs w:val="20"/>
        </w:rPr>
        <w:t>s short form workpaper</w:t>
      </w:r>
      <w:r w:rsidR="00F44876" w:rsidRPr="005D0DA1">
        <w:rPr>
          <w:sz w:val="20"/>
          <w:szCs w:val="20"/>
        </w:rPr>
        <w:t xml:space="preserve"> </w:t>
      </w:r>
      <w:r w:rsidR="00AE4353" w:rsidRPr="005D0DA1">
        <w:rPr>
          <w:sz w:val="20"/>
          <w:szCs w:val="20"/>
        </w:rPr>
        <w:t>documents</w:t>
      </w:r>
      <w:r w:rsidR="00C75814" w:rsidRPr="005D0DA1">
        <w:rPr>
          <w:sz w:val="20"/>
          <w:szCs w:val="20"/>
        </w:rPr>
        <w:t xml:space="preserve"> the values</w:t>
      </w:r>
      <w:r w:rsidR="006374F1" w:rsidRPr="005D0DA1">
        <w:rPr>
          <w:sz w:val="20"/>
          <w:szCs w:val="20"/>
        </w:rPr>
        <w:t xml:space="preserve"> from the RE</w:t>
      </w:r>
      <w:r w:rsidR="005248E2" w:rsidRPr="005D0DA1">
        <w:rPr>
          <w:sz w:val="20"/>
          <w:szCs w:val="20"/>
        </w:rPr>
        <w:t>ADI v.2.4.7</w:t>
      </w:r>
      <w:r w:rsidR="00C75814" w:rsidRPr="005D0DA1">
        <w:rPr>
          <w:sz w:val="20"/>
          <w:szCs w:val="20"/>
        </w:rPr>
        <w:t xml:space="preserve"> </w:t>
      </w:r>
      <w:r w:rsidR="005248E2" w:rsidRPr="005D0DA1">
        <w:rPr>
          <w:sz w:val="20"/>
          <w:szCs w:val="20"/>
        </w:rPr>
        <w:t>energy impacts for Res-</w:t>
      </w:r>
      <w:proofErr w:type="spellStart"/>
      <w:r w:rsidR="005248E2" w:rsidRPr="005D0DA1">
        <w:rPr>
          <w:sz w:val="20"/>
          <w:szCs w:val="20"/>
        </w:rPr>
        <w:t>RefrigCharge</w:t>
      </w:r>
      <w:proofErr w:type="spellEnd"/>
      <w:r w:rsidR="005248E2" w:rsidRPr="005D0DA1">
        <w:rPr>
          <w:sz w:val="20"/>
          <w:szCs w:val="20"/>
        </w:rPr>
        <w:t>-</w:t>
      </w:r>
      <w:proofErr w:type="spellStart"/>
      <w:r w:rsidR="005248E2" w:rsidRPr="005D0DA1">
        <w:rPr>
          <w:sz w:val="20"/>
          <w:szCs w:val="20"/>
        </w:rPr>
        <w:t>wtd</w:t>
      </w:r>
      <w:proofErr w:type="spellEnd"/>
      <w:r w:rsidR="004638E4" w:rsidRPr="005D0DA1">
        <w:rPr>
          <w:sz w:val="20"/>
          <w:szCs w:val="20"/>
        </w:rPr>
        <w:t xml:space="preserve"> and </w:t>
      </w:r>
      <w:r w:rsidR="00EB2DBB" w:rsidRPr="005D0DA1">
        <w:rPr>
          <w:sz w:val="20"/>
          <w:szCs w:val="20"/>
        </w:rPr>
        <w:t>Res-RCA-</w:t>
      </w:r>
      <w:proofErr w:type="spellStart"/>
      <w:r w:rsidR="00EB2DBB" w:rsidRPr="005D0DA1">
        <w:rPr>
          <w:sz w:val="20"/>
          <w:szCs w:val="20"/>
        </w:rPr>
        <w:t>wtd</w:t>
      </w:r>
      <w:proofErr w:type="spellEnd"/>
      <w:r w:rsidR="004638E4" w:rsidRPr="005D0DA1">
        <w:rPr>
          <w:sz w:val="20"/>
          <w:szCs w:val="20"/>
        </w:rPr>
        <w:t xml:space="preserve">. </w:t>
      </w:r>
      <w:r w:rsidR="008E05E3" w:rsidRPr="002717A2">
        <w:rPr>
          <w:sz w:val="20"/>
          <w:szCs w:val="20"/>
        </w:rPr>
        <w:t xml:space="preserve">SDG&amp;E adopts the values in READI v2.4.7 </w:t>
      </w:r>
      <w:r w:rsidR="008E05E3" w:rsidRPr="005D568F">
        <w:rPr>
          <w:sz w:val="20"/>
          <w:szCs w:val="20"/>
        </w:rPr>
        <w:t>with adjustment factors from Energy Division Workpaper Disposition for Residential HVAC Qualit</w:t>
      </w:r>
      <w:r w:rsidR="008E05E3">
        <w:rPr>
          <w:sz w:val="20"/>
          <w:szCs w:val="20"/>
        </w:rPr>
        <w:t>y Maintenance dated May 2, 2013</w:t>
      </w:r>
      <w:r w:rsidR="00870139" w:rsidRPr="005D0DA1">
        <w:rPr>
          <w:rStyle w:val="EndnoteReference"/>
          <w:sz w:val="20"/>
          <w:szCs w:val="20"/>
        </w:rPr>
        <w:endnoteReference w:id="1"/>
      </w:r>
      <w:r w:rsidR="00870139" w:rsidRPr="005D0DA1">
        <w:rPr>
          <w:sz w:val="20"/>
          <w:szCs w:val="20"/>
        </w:rPr>
        <w:t>.</w:t>
      </w:r>
      <w:r w:rsidR="005D0DA1" w:rsidRPr="005D0DA1">
        <w:rPr>
          <w:sz w:val="20"/>
          <w:szCs w:val="20"/>
        </w:rPr>
        <w:t xml:space="preserve"> The costs are adopted from 2010-2012 WO17 Ex Ante Measure Cost Study</w:t>
      </w:r>
      <w:r w:rsidR="005D0DA1" w:rsidRPr="005D0DA1">
        <w:rPr>
          <w:rStyle w:val="EndnoteReference"/>
          <w:sz w:val="20"/>
          <w:szCs w:val="20"/>
        </w:rPr>
        <w:endnoteReference w:id="2"/>
      </w:r>
      <w:r w:rsidR="005D0DA1" w:rsidRPr="005D0DA1">
        <w:rPr>
          <w:sz w:val="20"/>
          <w:szCs w:val="20"/>
        </w:rPr>
        <w:t>.</w:t>
      </w: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77A36BBE" w14:textId="77777777" w:rsidTr="00C131CB">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884B9C" w:rsidRPr="00500C4E" w14:paraId="19ED8C42" w14:textId="77777777" w:rsidTr="00C131CB">
        <w:trPr>
          <w:trHeight w:val="20"/>
        </w:trPr>
        <w:tc>
          <w:tcPr>
            <w:tcW w:w="280" w:type="pct"/>
          </w:tcPr>
          <w:p w14:paraId="53695813" w14:textId="77777777" w:rsidR="00884B9C" w:rsidRPr="000E2B6B" w:rsidRDefault="00762D81">
            <w:pPr>
              <w:jc w:val="center"/>
              <w:rPr>
                <w:rFonts w:cstheme="minorHAnsi"/>
              </w:rPr>
            </w:pPr>
            <w:r>
              <w:t>0</w:t>
            </w:r>
          </w:p>
        </w:tc>
        <w:tc>
          <w:tcPr>
            <w:tcW w:w="677" w:type="pct"/>
          </w:tcPr>
          <w:p w14:paraId="0B64BB14" w14:textId="727BEAF4" w:rsidR="00884B9C" w:rsidRPr="000E2B6B" w:rsidRDefault="001518E0" w:rsidP="00393EC8">
            <w:pPr>
              <w:jc w:val="center"/>
              <w:rPr>
                <w:rFonts w:cstheme="minorHAnsi"/>
              </w:rPr>
            </w:pPr>
            <w:r>
              <w:t>12/</w:t>
            </w:r>
            <w:r w:rsidR="0075514D">
              <w:t>22</w:t>
            </w:r>
            <w:r w:rsidR="003E035B">
              <w:t>/17</w:t>
            </w:r>
          </w:p>
        </w:tc>
        <w:tc>
          <w:tcPr>
            <w:tcW w:w="938" w:type="pct"/>
          </w:tcPr>
          <w:p w14:paraId="3269B081" w14:textId="6D7A1FF1" w:rsidR="00884B9C" w:rsidRPr="000E2B6B" w:rsidRDefault="005248E2" w:rsidP="00393EC8">
            <w:pPr>
              <w:rPr>
                <w:rFonts w:cstheme="minorHAnsi"/>
              </w:rPr>
            </w:pPr>
            <w:r>
              <w:rPr>
                <w:rFonts w:cstheme="minorHAnsi"/>
              </w:rPr>
              <w:t xml:space="preserve">Keith </w:t>
            </w:r>
            <w:r w:rsidR="003E035B">
              <w:rPr>
                <w:rFonts w:cstheme="minorHAnsi"/>
              </w:rPr>
              <w:t>Valenzuela/SDGE</w:t>
            </w:r>
            <w:r>
              <w:rPr>
                <w:rFonts w:cstheme="minorHAnsi"/>
              </w:rPr>
              <w:t xml:space="preserve"> Contractor </w:t>
            </w:r>
          </w:p>
        </w:tc>
        <w:tc>
          <w:tcPr>
            <w:tcW w:w="3105" w:type="pct"/>
          </w:tcPr>
          <w:p w14:paraId="261F4D84" w14:textId="106A75F0" w:rsidR="003E035B" w:rsidRPr="005734A4" w:rsidRDefault="008E05E3" w:rsidP="005248E2">
            <w:pPr>
              <w:rPr>
                <w:rFonts w:cstheme="minorHAnsi"/>
              </w:rPr>
            </w:pPr>
            <w:r>
              <w:rPr>
                <w:bCs/>
              </w:rPr>
              <w:t xml:space="preserve">Adopted </w:t>
            </w:r>
            <w:r>
              <w:t>READI v.2.4.7 energy impacts for DEER 2018 updates with adjustment factors from Energy Division Workpaper Disposition for Residential HVAC Quality Maintenance dated May 2, 2013.</w:t>
            </w:r>
          </w:p>
        </w:tc>
      </w:tr>
      <w:tr w:rsidR="00884B9C" w:rsidRPr="00500C4E" w14:paraId="3F8262D5" w14:textId="77777777" w:rsidTr="00C131CB">
        <w:trPr>
          <w:trHeight w:val="20"/>
        </w:trPr>
        <w:tc>
          <w:tcPr>
            <w:tcW w:w="280" w:type="pct"/>
          </w:tcPr>
          <w:p w14:paraId="492A8882" w14:textId="4629A9A0" w:rsidR="00884B9C" w:rsidRPr="000E2B6B" w:rsidRDefault="00F00743">
            <w:pPr>
              <w:jc w:val="center"/>
              <w:rPr>
                <w:rStyle w:val="Strong"/>
                <w:b w:val="0"/>
              </w:rPr>
            </w:pPr>
            <w:r>
              <w:rPr>
                <w:rStyle w:val="Strong"/>
                <w:b w:val="0"/>
              </w:rPr>
              <w:t>0.1</w:t>
            </w:r>
          </w:p>
        </w:tc>
        <w:tc>
          <w:tcPr>
            <w:tcW w:w="677" w:type="pct"/>
          </w:tcPr>
          <w:p w14:paraId="7FC3B678" w14:textId="22603E2E" w:rsidR="00884B9C" w:rsidRPr="000E2B6B" w:rsidRDefault="00F00743" w:rsidP="00393EC8">
            <w:pPr>
              <w:jc w:val="center"/>
              <w:rPr>
                <w:rStyle w:val="Strong"/>
                <w:b w:val="0"/>
              </w:rPr>
            </w:pPr>
            <w:r>
              <w:rPr>
                <w:rStyle w:val="Strong"/>
                <w:b w:val="0"/>
              </w:rPr>
              <w:t>02/28/18</w:t>
            </w:r>
          </w:p>
        </w:tc>
        <w:tc>
          <w:tcPr>
            <w:tcW w:w="938" w:type="pct"/>
          </w:tcPr>
          <w:p w14:paraId="123C123B" w14:textId="32E770E3" w:rsidR="00884B9C" w:rsidRPr="000E2B6B" w:rsidRDefault="00F00743" w:rsidP="00393EC8">
            <w:pPr>
              <w:rPr>
                <w:rStyle w:val="Strong"/>
                <w:b w:val="0"/>
              </w:rPr>
            </w:pPr>
            <w:r>
              <w:rPr>
                <w:rFonts w:cstheme="minorHAnsi"/>
              </w:rPr>
              <w:t>Keith Valenzuela/SDGE Contractor</w:t>
            </w:r>
          </w:p>
        </w:tc>
        <w:tc>
          <w:tcPr>
            <w:tcW w:w="3105" w:type="pct"/>
          </w:tcPr>
          <w:p w14:paraId="01D8A3A7" w14:textId="77777777" w:rsidR="00F00743" w:rsidRDefault="00F00743" w:rsidP="00F00743">
            <w:pPr>
              <w:rPr>
                <w:rFonts w:asciiTheme="minorHAnsi" w:hAnsiTheme="minorHAnsi" w:cstheme="minorHAnsi"/>
                <w:bCs/>
              </w:rPr>
            </w:pPr>
            <w:r>
              <w:rPr>
                <w:rFonts w:asciiTheme="minorHAnsi" w:hAnsiTheme="minorHAnsi" w:cstheme="minorHAnsi"/>
                <w:bCs/>
              </w:rPr>
              <w:t>- Updated Delivery Type to include downstream</w:t>
            </w:r>
          </w:p>
          <w:p w14:paraId="259425FF" w14:textId="77777777" w:rsidR="00762D81" w:rsidRPr="00762D81" w:rsidRDefault="00762D81" w:rsidP="00762D81">
            <w:pPr>
              <w:rPr>
                <w:rStyle w:val="Strong"/>
                <w:b w:val="0"/>
              </w:rPr>
            </w:pPr>
          </w:p>
        </w:tc>
      </w:tr>
      <w:tr w:rsidR="00DB544A" w:rsidRPr="00500C4E" w14:paraId="4FCE8637" w14:textId="77777777" w:rsidTr="00C131CB">
        <w:trPr>
          <w:trHeight w:val="20"/>
        </w:trPr>
        <w:tc>
          <w:tcPr>
            <w:tcW w:w="280" w:type="pct"/>
          </w:tcPr>
          <w:p w14:paraId="08164BE4" w14:textId="77777777" w:rsidR="00DB544A" w:rsidRPr="00F2079F" w:rsidRDefault="00DB544A" w:rsidP="008C2C8A">
            <w:pPr>
              <w:jc w:val="center"/>
            </w:pPr>
          </w:p>
        </w:tc>
        <w:tc>
          <w:tcPr>
            <w:tcW w:w="677" w:type="pct"/>
          </w:tcPr>
          <w:p w14:paraId="5A6A1A61" w14:textId="77777777" w:rsidR="00DB544A" w:rsidRDefault="00DB544A" w:rsidP="00393EC8">
            <w:pPr>
              <w:jc w:val="center"/>
            </w:pPr>
          </w:p>
        </w:tc>
        <w:tc>
          <w:tcPr>
            <w:tcW w:w="938" w:type="pct"/>
          </w:tcPr>
          <w:p w14:paraId="3382F00D" w14:textId="77777777" w:rsidR="00DB544A" w:rsidRDefault="00DB544A" w:rsidP="00393EC8"/>
        </w:tc>
        <w:tc>
          <w:tcPr>
            <w:tcW w:w="3105" w:type="pct"/>
          </w:tcPr>
          <w:p w14:paraId="41400361" w14:textId="77777777" w:rsidR="00762D81" w:rsidRPr="006A478E" w:rsidRDefault="00762D81" w:rsidP="00C131CB">
            <w:pPr>
              <w:rPr>
                <w:bCs/>
              </w:rPr>
            </w:pP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fldSimple w:instr=" SEQ Table \* ARABIC ">
        <w:r w:rsidR="00C6110B">
          <w:rPr>
            <w:noProof/>
          </w:rPr>
          <w:t>1</w:t>
        </w:r>
      </w:fldSimple>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52060">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52060">
        <w:trPr>
          <w:cantSplit/>
        </w:trPr>
        <w:tc>
          <w:tcPr>
            <w:tcW w:w="1975" w:type="dxa"/>
            <w:vAlign w:val="center"/>
          </w:tcPr>
          <w:p w14:paraId="3164F533" w14:textId="77777777" w:rsidR="00DB71F1" w:rsidRPr="001D77F7" w:rsidRDefault="00DB71F1" w:rsidP="00393EC8">
            <w:pPr>
              <w:rPr>
                <w:b/>
              </w:rPr>
            </w:pPr>
            <w:r>
              <w:rPr>
                <w:b/>
              </w:rPr>
              <w:t>Summary &amp; Purpose</w:t>
            </w:r>
          </w:p>
        </w:tc>
        <w:tc>
          <w:tcPr>
            <w:tcW w:w="7375" w:type="dxa"/>
          </w:tcPr>
          <w:p w14:paraId="13577878" w14:textId="3D05CDA9" w:rsidR="00DB71F1" w:rsidRPr="00A33072" w:rsidRDefault="00A33072" w:rsidP="00A33072">
            <w:pPr>
              <w:rPr>
                <w:bCs/>
                <w:sz w:val="20"/>
                <w:szCs w:val="20"/>
              </w:rPr>
            </w:pPr>
            <w:r w:rsidRPr="005D568F">
              <w:rPr>
                <w:rFonts w:cstheme="minorHAnsi"/>
                <w:sz w:val="20"/>
                <w:szCs w:val="20"/>
              </w:rPr>
              <w:t xml:space="preserve">This short form workpaper documents </w:t>
            </w:r>
            <w:r>
              <w:rPr>
                <w:rFonts w:cstheme="minorHAnsi"/>
                <w:sz w:val="20"/>
                <w:szCs w:val="20"/>
              </w:rPr>
              <w:t>only an addition for Downstream Delivery Channel and the associated implementation ID.  No ot</w:t>
            </w:r>
            <w:r>
              <w:rPr>
                <w:rFonts w:cstheme="minorHAnsi"/>
                <w:sz w:val="20"/>
                <w:szCs w:val="20"/>
              </w:rPr>
              <w:t>her changes are taken from REV 0</w:t>
            </w:r>
            <w:r>
              <w:rPr>
                <w:rFonts w:cstheme="minorHAnsi"/>
                <w:sz w:val="20"/>
                <w:szCs w:val="20"/>
              </w:rPr>
              <w:t>.0.</w:t>
            </w:r>
          </w:p>
        </w:tc>
      </w:tr>
      <w:tr w:rsidR="00AF368D" w14:paraId="7A2C9153" w14:textId="77777777" w:rsidTr="00BA3396">
        <w:trPr>
          <w:cantSplit/>
        </w:trPr>
        <w:tc>
          <w:tcPr>
            <w:tcW w:w="9350" w:type="dxa"/>
            <w:gridSpan w:val="2"/>
            <w:vAlign w:val="center"/>
          </w:tcPr>
          <w:p w14:paraId="5131AFA8" w14:textId="77777777" w:rsidR="00AF368D" w:rsidRPr="00241A1F" w:rsidRDefault="00AF368D" w:rsidP="00AF368D">
            <w:pPr>
              <w:rPr>
                <w:rFonts w:cs="Arial"/>
                <w:sz w:val="20"/>
                <w:szCs w:val="20"/>
              </w:rPr>
            </w:pPr>
            <w:r w:rsidRPr="001D77F7">
              <w:rPr>
                <w:b/>
              </w:rPr>
              <w:t>1.1 Measure &amp; Baseline Data</w:t>
            </w:r>
          </w:p>
        </w:tc>
      </w:tr>
      <w:tr w:rsidR="00DB71F1" w14:paraId="5C999C77" w14:textId="77777777" w:rsidTr="00F52060">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3D78D86E" w14:textId="132BCAA8" w:rsidR="00D4142C" w:rsidRPr="00D4142C" w:rsidRDefault="00D4142C" w:rsidP="00D4142C">
            <w:pPr>
              <w:pStyle w:val="NoSpacing"/>
              <w:rPr>
                <w:sz w:val="20"/>
                <w:szCs w:val="20"/>
              </w:rPr>
            </w:pPr>
            <w:r w:rsidRPr="00D4142C">
              <w:rPr>
                <w:sz w:val="20"/>
                <w:szCs w:val="20"/>
              </w:rPr>
              <w:t xml:space="preserve">This measure involves refrigerant charge </w:t>
            </w:r>
            <w:r w:rsidR="00285F4F">
              <w:rPr>
                <w:sz w:val="20"/>
                <w:szCs w:val="20"/>
              </w:rPr>
              <w:t>adjustment</w:t>
            </w:r>
            <w:r w:rsidRPr="00D4142C">
              <w:rPr>
                <w:sz w:val="20"/>
                <w:szCs w:val="20"/>
              </w:rPr>
              <w:t xml:space="preserve"> to residential </w:t>
            </w:r>
            <w:r>
              <w:rPr>
                <w:sz w:val="20"/>
                <w:szCs w:val="20"/>
              </w:rPr>
              <w:t xml:space="preserve">AC </w:t>
            </w:r>
            <w:r w:rsidRPr="00D4142C">
              <w:rPr>
                <w:sz w:val="20"/>
                <w:szCs w:val="20"/>
              </w:rPr>
              <w:t>units</w:t>
            </w:r>
            <w:r w:rsidR="00EB2DBB">
              <w:rPr>
                <w:sz w:val="20"/>
                <w:szCs w:val="20"/>
              </w:rPr>
              <w:t xml:space="preserve"> or </w:t>
            </w:r>
            <w:r w:rsidR="00EB2DBB" w:rsidRPr="00D4142C">
              <w:rPr>
                <w:sz w:val="20"/>
                <w:szCs w:val="20"/>
              </w:rPr>
              <w:t>refrigerant charge</w:t>
            </w:r>
            <w:r w:rsidR="00EB2DBB">
              <w:rPr>
                <w:sz w:val="20"/>
                <w:szCs w:val="20"/>
              </w:rPr>
              <w:t xml:space="preserve"> and airflow</w:t>
            </w:r>
            <w:r w:rsidR="00EB2DBB" w:rsidRPr="00D4142C">
              <w:rPr>
                <w:sz w:val="20"/>
                <w:szCs w:val="20"/>
              </w:rPr>
              <w:t xml:space="preserve"> </w:t>
            </w:r>
            <w:r w:rsidR="00285F4F">
              <w:rPr>
                <w:sz w:val="20"/>
                <w:szCs w:val="20"/>
              </w:rPr>
              <w:t>adjustment</w:t>
            </w:r>
            <w:r w:rsidR="00EB2DBB" w:rsidRPr="00D4142C">
              <w:rPr>
                <w:sz w:val="20"/>
                <w:szCs w:val="20"/>
              </w:rPr>
              <w:t xml:space="preserve"> to residential </w:t>
            </w:r>
            <w:r w:rsidR="00EB2DBB">
              <w:rPr>
                <w:sz w:val="20"/>
                <w:szCs w:val="20"/>
              </w:rPr>
              <w:t xml:space="preserve">AC </w:t>
            </w:r>
            <w:r w:rsidR="00EB2DBB" w:rsidRPr="00D4142C">
              <w:rPr>
                <w:sz w:val="20"/>
                <w:szCs w:val="20"/>
              </w:rPr>
              <w:t>units</w:t>
            </w:r>
            <w:r w:rsidRPr="00D4142C">
              <w:rPr>
                <w:sz w:val="20"/>
                <w:szCs w:val="20"/>
              </w:rPr>
              <w:t xml:space="preserve">. When an </w:t>
            </w:r>
            <w:r>
              <w:rPr>
                <w:sz w:val="20"/>
                <w:szCs w:val="20"/>
              </w:rPr>
              <w:t>AC</w:t>
            </w:r>
            <w:r w:rsidRPr="00D4142C">
              <w:rPr>
                <w:sz w:val="20"/>
                <w:szCs w:val="20"/>
              </w:rPr>
              <w:t xml:space="preserve"> unit’s refrigerant charge </w:t>
            </w:r>
            <w:r w:rsidR="00EB2DBB">
              <w:rPr>
                <w:sz w:val="20"/>
                <w:szCs w:val="20"/>
              </w:rPr>
              <w:t xml:space="preserve">and airflow </w:t>
            </w:r>
            <w:r w:rsidRPr="00D4142C">
              <w:rPr>
                <w:sz w:val="20"/>
                <w:szCs w:val="20"/>
              </w:rPr>
              <w:t xml:space="preserve">does not meet the manufacturer recommended levels it results in a decrease in the unit’s </w:t>
            </w:r>
            <w:r>
              <w:rPr>
                <w:sz w:val="20"/>
                <w:szCs w:val="20"/>
              </w:rPr>
              <w:t>energy efficiency.</w:t>
            </w:r>
          </w:p>
          <w:p w14:paraId="6013BDD7" w14:textId="77777777" w:rsidR="00D4142C" w:rsidRPr="00D4142C" w:rsidRDefault="00D4142C" w:rsidP="00D4142C">
            <w:pPr>
              <w:pStyle w:val="NoSpacing"/>
              <w:rPr>
                <w:sz w:val="20"/>
                <w:szCs w:val="20"/>
              </w:rPr>
            </w:pPr>
          </w:p>
          <w:p w14:paraId="2CD0AD6B" w14:textId="173F6988" w:rsidR="00DB71F1" w:rsidRPr="00A33072" w:rsidRDefault="00D4142C" w:rsidP="00A33072">
            <w:pPr>
              <w:pStyle w:val="NoSpacing"/>
              <w:rPr>
                <w:sz w:val="20"/>
                <w:szCs w:val="20"/>
              </w:rPr>
            </w:pPr>
            <w:r w:rsidRPr="00D4142C">
              <w:rPr>
                <w:sz w:val="20"/>
                <w:szCs w:val="20"/>
              </w:rPr>
              <w:t>Some units may be undercharged, which can result in decreased power draw but potentially longer run times.  Other units may be overcharged, which can result in increased power draw but potentially shorter run times. In either case, energy savings can be achieved by correcting refrigerant charge to optimum levels based on the manufacturers’ specifications.</w:t>
            </w:r>
          </w:p>
        </w:tc>
      </w:tr>
      <w:tr w:rsidR="008775D7" w:rsidRPr="008775D7" w14:paraId="7E0F1030" w14:textId="77777777" w:rsidTr="00F52060">
        <w:trPr>
          <w:cantSplit/>
        </w:trPr>
        <w:tc>
          <w:tcPr>
            <w:tcW w:w="1975" w:type="dxa"/>
          </w:tcPr>
          <w:p w14:paraId="0C145CB9" w14:textId="77777777" w:rsidR="008775D7" w:rsidRPr="00241A1F" w:rsidRDefault="008775D7" w:rsidP="00241A1F">
            <w:pPr>
              <w:jc w:val="right"/>
              <w:rPr>
                <w:sz w:val="20"/>
                <w:szCs w:val="20"/>
              </w:rPr>
            </w:pPr>
            <w:r w:rsidRPr="00241A1F">
              <w:rPr>
                <w:sz w:val="20"/>
                <w:szCs w:val="20"/>
              </w:rPr>
              <w:t>Measures</w:t>
            </w:r>
          </w:p>
        </w:tc>
        <w:tc>
          <w:tcPr>
            <w:tcW w:w="7375" w:type="dxa"/>
          </w:tcPr>
          <w:p w14:paraId="0435D05F" w14:textId="1BB53A45" w:rsidR="00AF368D" w:rsidRPr="00555671" w:rsidRDefault="00AF368D" w:rsidP="00AF368D">
            <w:pPr>
              <w:rPr>
                <w:rFonts w:cs="Arial"/>
                <w:sz w:val="20"/>
                <w:szCs w:val="20"/>
              </w:rPr>
            </w:pPr>
            <w:r w:rsidRPr="00555671">
              <w:rPr>
                <w:rFonts w:cs="Arial"/>
                <w:sz w:val="20"/>
                <w:szCs w:val="20"/>
              </w:rPr>
              <w:t>Measure</w:t>
            </w:r>
            <w:r w:rsidR="00BB285E">
              <w:rPr>
                <w:rFonts w:cs="Arial"/>
                <w:sz w:val="20"/>
                <w:szCs w:val="20"/>
              </w:rPr>
              <w:t xml:space="preserve"> 1</w:t>
            </w:r>
            <w:r w:rsidRPr="00555671">
              <w:rPr>
                <w:rFonts w:cs="Arial"/>
                <w:sz w:val="20"/>
                <w:szCs w:val="20"/>
              </w:rPr>
              <w:t xml:space="preserve">: </w:t>
            </w:r>
          </w:p>
          <w:p w14:paraId="1F87719B" w14:textId="51140F8D" w:rsidR="00AF368D" w:rsidRDefault="00AF368D" w:rsidP="00AF368D">
            <w:pPr>
              <w:rPr>
                <w:rFonts w:cs="Arial"/>
                <w:sz w:val="20"/>
                <w:szCs w:val="20"/>
              </w:rPr>
            </w:pPr>
            <w:r w:rsidRPr="00D4142C">
              <w:rPr>
                <w:rFonts w:cs="Arial"/>
                <w:sz w:val="20"/>
                <w:szCs w:val="20"/>
              </w:rPr>
              <w:t>462344</w:t>
            </w:r>
            <w:r w:rsidRPr="00555671">
              <w:rPr>
                <w:rFonts w:cs="Arial"/>
                <w:sz w:val="20"/>
                <w:szCs w:val="20"/>
              </w:rPr>
              <w:t xml:space="preserve"> </w:t>
            </w:r>
            <w:r>
              <w:rPr>
                <w:rFonts w:cs="Arial"/>
                <w:sz w:val="20"/>
                <w:szCs w:val="20"/>
              </w:rPr>
              <w:t>–</w:t>
            </w:r>
            <w:r w:rsidRPr="00555671">
              <w:rPr>
                <w:rFonts w:cs="Arial"/>
                <w:sz w:val="20"/>
                <w:szCs w:val="20"/>
              </w:rPr>
              <w:t xml:space="preserve"> </w:t>
            </w:r>
            <w:r w:rsidRPr="00D4142C">
              <w:rPr>
                <w:rFonts w:cs="Arial"/>
                <w:sz w:val="20"/>
                <w:szCs w:val="20"/>
              </w:rPr>
              <w:t>Adjust refrigerant charge in residential AC unit</w:t>
            </w:r>
            <w:r w:rsidR="00F00743">
              <w:rPr>
                <w:rFonts w:cs="Arial"/>
                <w:sz w:val="20"/>
                <w:szCs w:val="20"/>
              </w:rPr>
              <w:t xml:space="preserve"> </w:t>
            </w:r>
          </w:p>
          <w:p w14:paraId="2E4069AA" w14:textId="554168F7" w:rsidR="00F00743" w:rsidRDefault="00F00743" w:rsidP="00AF368D">
            <w:pPr>
              <w:rPr>
                <w:rFonts w:cs="Arial"/>
                <w:sz w:val="20"/>
                <w:szCs w:val="20"/>
              </w:rPr>
            </w:pPr>
            <w:r>
              <w:rPr>
                <w:rFonts w:cs="Arial"/>
                <w:sz w:val="20"/>
                <w:szCs w:val="20"/>
              </w:rPr>
              <w:t xml:space="preserve">420089 – </w:t>
            </w:r>
            <w:r w:rsidRPr="00D4142C">
              <w:rPr>
                <w:rFonts w:cs="Arial"/>
                <w:sz w:val="20"/>
                <w:szCs w:val="20"/>
              </w:rPr>
              <w:t>Adjust refrigerant charge in residential AC unit</w:t>
            </w:r>
            <w:r>
              <w:rPr>
                <w:rFonts w:cs="Arial"/>
                <w:sz w:val="20"/>
                <w:szCs w:val="20"/>
              </w:rPr>
              <w:t xml:space="preserve"> - Downstream</w:t>
            </w:r>
          </w:p>
          <w:p w14:paraId="793E13F3" w14:textId="5111CF25" w:rsidR="00BB285E" w:rsidRDefault="00BB285E" w:rsidP="00AF368D">
            <w:pPr>
              <w:rPr>
                <w:rFonts w:cs="Arial"/>
                <w:sz w:val="20"/>
                <w:szCs w:val="20"/>
              </w:rPr>
            </w:pPr>
            <w:r>
              <w:rPr>
                <w:rFonts w:cs="Arial"/>
                <w:sz w:val="20"/>
                <w:szCs w:val="20"/>
              </w:rPr>
              <w:t>Measure 2:</w:t>
            </w:r>
          </w:p>
          <w:p w14:paraId="5AA96882" w14:textId="44C38EC3" w:rsidR="00EB2DBB" w:rsidRDefault="00EB2DBB" w:rsidP="00AF368D">
            <w:pPr>
              <w:rPr>
                <w:rFonts w:cs="Arial"/>
                <w:sz w:val="20"/>
                <w:szCs w:val="20"/>
              </w:rPr>
            </w:pPr>
            <w:r>
              <w:rPr>
                <w:rFonts w:cs="Arial"/>
                <w:sz w:val="20"/>
                <w:szCs w:val="20"/>
              </w:rPr>
              <w:t>420090</w:t>
            </w:r>
            <w:r w:rsidRPr="00555671">
              <w:rPr>
                <w:rFonts w:cs="Arial"/>
                <w:sz w:val="20"/>
                <w:szCs w:val="20"/>
              </w:rPr>
              <w:t xml:space="preserve"> </w:t>
            </w:r>
            <w:r>
              <w:rPr>
                <w:rFonts w:cs="Arial"/>
                <w:sz w:val="20"/>
                <w:szCs w:val="20"/>
              </w:rPr>
              <w:t xml:space="preserve">– </w:t>
            </w:r>
            <w:r w:rsidRPr="00EB2DBB">
              <w:rPr>
                <w:rFonts w:cs="Arial"/>
                <w:sz w:val="20"/>
                <w:szCs w:val="20"/>
              </w:rPr>
              <w:t>Residential refrigerant charge and airflow adjustment</w:t>
            </w:r>
          </w:p>
          <w:p w14:paraId="1D48B5B8" w14:textId="53566289" w:rsidR="00D7523C" w:rsidRDefault="00D7523C" w:rsidP="00AF368D">
            <w:pPr>
              <w:rPr>
                <w:rFonts w:cs="Arial"/>
                <w:sz w:val="20"/>
                <w:szCs w:val="20"/>
              </w:rPr>
            </w:pPr>
            <w:r>
              <w:rPr>
                <w:rFonts w:cs="Arial"/>
                <w:sz w:val="20"/>
                <w:szCs w:val="20"/>
              </w:rPr>
              <w:t xml:space="preserve">464291 – </w:t>
            </w:r>
            <w:r w:rsidRPr="00EB2DBB">
              <w:rPr>
                <w:rFonts w:cs="Arial"/>
                <w:sz w:val="20"/>
                <w:szCs w:val="20"/>
              </w:rPr>
              <w:t>Residential refrigerant charge and airflow adjustment</w:t>
            </w:r>
            <w:r>
              <w:rPr>
                <w:rFonts w:cs="Arial"/>
                <w:sz w:val="20"/>
                <w:szCs w:val="20"/>
              </w:rPr>
              <w:t xml:space="preserve"> - Downstream</w:t>
            </w:r>
          </w:p>
          <w:p w14:paraId="13C28182" w14:textId="4EBD71CC" w:rsidR="00BB285E" w:rsidRDefault="00BB285E" w:rsidP="00AF368D">
            <w:pPr>
              <w:rPr>
                <w:rFonts w:cs="Arial"/>
                <w:sz w:val="20"/>
                <w:szCs w:val="20"/>
              </w:rPr>
            </w:pPr>
            <w:r>
              <w:rPr>
                <w:rFonts w:cs="Arial"/>
                <w:sz w:val="20"/>
                <w:szCs w:val="20"/>
              </w:rPr>
              <w:t>Measure 3:</w:t>
            </w:r>
          </w:p>
          <w:p w14:paraId="728C9D7E" w14:textId="06331364" w:rsidR="000F5B93" w:rsidRDefault="000F5B93" w:rsidP="000F5B93">
            <w:pPr>
              <w:rPr>
                <w:rFonts w:cs="Arial"/>
                <w:sz w:val="20"/>
                <w:szCs w:val="20"/>
              </w:rPr>
            </w:pPr>
            <w:r>
              <w:rPr>
                <w:rFonts w:cs="Arial"/>
                <w:sz w:val="20"/>
                <w:szCs w:val="20"/>
              </w:rPr>
              <w:t>421026</w:t>
            </w:r>
            <w:r w:rsidRPr="00555671">
              <w:rPr>
                <w:rFonts w:cs="Arial"/>
                <w:sz w:val="20"/>
                <w:szCs w:val="20"/>
              </w:rPr>
              <w:t xml:space="preserve"> </w:t>
            </w:r>
            <w:r>
              <w:rPr>
                <w:rFonts w:cs="Arial"/>
                <w:sz w:val="20"/>
                <w:szCs w:val="20"/>
              </w:rPr>
              <w:t>– AC Diagnostic, Repair and Tune-up 1995-2005</w:t>
            </w:r>
          </w:p>
          <w:p w14:paraId="707B9261" w14:textId="07DF7526" w:rsidR="00D7523C" w:rsidRDefault="00D7523C" w:rsidP="000F5B93">
            <w:pPr>
              <w:rPr>
                <w:rFonts w:cs="Arial"/>
                <w:sz w:val="20"/>
                <w:szCs w:val="20"/>
              </w:rPr>
            </w:pPr>
            <w:r>
              <w:rPr>
                <w:rFonts w:cs="Arial"/>
                <w:sz w:val="20"/>
                <w:szCs w:val="20"/>
              </w:rPr>
              <w:t>464292</w:t>
            </w:r>
            <w:r w:rsidRPr="00555671">
              <w:rPr>
                <w:rFonts w:cs="Arial"/>
                <w:sz w:val="20"/>
                <w:szCs w:val="20"/>
              </w:rPr>
              <w:t xml:space="preserve"> </w:t>
            </w:r>
            <w:r>
              <w:rPr>
                <w:rFonts w:cs="Arial"/>
                <w:sz w:val="20"/>
                <w:szCs w:val="20"/>
              </w:rPr>
              <w:t>– AC Diagnostic, Repair and Tune-up 1995-2005 - Downstream</w:t>
            </w:r>
          </w:p>
          <w:p w14:paraId="400E3027" w14:textId="26801656" w:rsidR="00E83424" w:rsidRDefault="00E83424" w:rsidP="000F5B93">
            <w:pPr>
              <w:rPr>
                <w:rFonts w:cs="Arial"/>
                <w:sz w:val="20"/>
                <w:szCs w:val="20"/>
              </w:rPr>
            </w:pPr>
            <w:r>
              <w:rPr>
                <w:rFonts w:cs="Arial"/>
                <w:sz w:val="20"/>
                <w:szCs w:val="20"/>
              </w:rPr>
              <w:t>Measure 4:</w:t>
            </w:r>
          </w:p>
          <w:p w14:paraId="08BBD472" w14:textId="2638B075" w:rsidR="00E83424" w:rsidRDefault="00E83424" w:rsidP="00E83424">
            <w:pPr>
              <w:rPr>
                <w:rFonts w:cs="Arial"/>
                <w:sz w:val="20"/>
                <w:szCs w:val="20"/>
              </w:rPr>
            </w:pPr>
            <w:r>
              <w:rPr>
                <w:rFonts w:cs="Arial"/>
                <w:sz w:val="20"/>
                <w:szCs w:val="20"/>
              </w:rPr>
              <w:t>420147 – Airflow Correction</w:t>
            </w:r>
            <w:r w:rsidR="00F00743">
              <w:rPr>
                <w:rFonts w:cs="Arial"/>
                <w:sz w:val="20"/>
                <w:szCs w:val="20"/>
              </w:rPr>
              <w:t xml:space="preserve"> </w:t>
            </w:r>
          </w:p>
          <w:p w14:paraId="1FF11067" w14:textId="1AE52ED9" w:rsidR="008775D7" w:rsidRPr="00E733C7" w:rsidRDefault="00F00743">
            <w:pPr>
              <w:rPr>
                <w:rFonts w:cs="Arial"/>
                <w:sz w:val="20"/>
                <w:szCs w:val="20"/>
              </w:rPr>
            </w:pPr>
            <w:r>
              <w:rPr>
                <w:rFonts w:cs="Arial"/>
                <w:sz w:val="20"/>
                <w:szCs w:val="20"/>
              </w:rPr>
              <w:t>4642</w:t>
            </w:r>
            <w:r w:rsidR="00462760">
              <w:rPr>
                <w:rFonts w:cs="Arial"/>
                <w:sz w:val="20"/>
                <w:szCs w:val="20"/>
              </w:rPr>
              <w:t>93</w:t>
            </w:r>
            <w:r>
              <w:rPr>
                <w:rFonts w:cs="Arial"/>
                <w:sz w:val="20"/>
                <w:szCs w:val="20"/>
              </w:rPr>
              <w:t xml:space="preserve"> – Airflow Correction - Downstream</w:t>
            </w:r>
          </w:p>
        </w:tc>
      </w:tr>
      <w:tr w:rsidR="008775D7" w:rsidRPr="008775D7" w14:paraId="4A9FB8AB" w14:textId="77777777" w:rsidTr="00F52060">
        <w:trPr>
          <w:cantSplit/>
        </w:trPr>
        <w:tc>
          <w:tcPr>
            <w:tcW w:w="1975" w:type="dxa"/>
          </w:tcPr>
          <w:p w14:paraId="22ECFA4D" w14:textId="77777777" w:rsidR="008775D7" w:rsidRPr="00653C4B" w:rsidRDefault="008775D7" w:rsidP="00241A1F">
            <w:pPr>
              <w:jc w:val="right"/>
              <w:rPr>
                <w:sz w:val="20"/>
                <w:szCs w:val="20"/>
              </w:rPr>
            </w:pPr>
            <w:r w:rsidRPr="00653C4B">
              <w:rPr>
                <w:sz w:val="20"/>
                <w:szCs w:val="20"/>
              </w:rPr>
              <w:t>Code for All Measures</w:t>
            </w:r>
          </w:p>
        </w:tc>
        <w:tc>
          <w:tcPr>
            <w:tcW w:w="7375" w:type="dxa"/>
          </w:tcPr>
          <w:p w14:paraId="493C8EEC" w14:textId="1E4FE0AA" w:rsidR="000E65D6" w:rsidRPr="000E65D6" w:rsidRDefault="00A33072" w:rsidP="000E65D6">
            <w:pPr>
              <w:jc w:val="both"/>
              <w:rPr>
                <w:rFonts w:cs="Arial"/>
                <w:sz w:val="20"/>
                <w:szCs w:val="20"/>
              </w:rPr>
            </w:pPr>
            <w:r>
              <w:rPr>
                <w:rFonts w:cs="Arial"/>
                <w:sz w:val="20"/>
                <w:szCs w:val="20"/>
              </w:rPr>
              <w:t xml:space="preserve">No Changes from REV </w:t>
            </w:r>
            <w:r>
              <w:rPr>
                <w:rFonts w:cs="Arial"/>
                <w:sz w:val="20"/>
                <w:szCs w:val="20"/>
              </w:rPr>
              <w:t>0</w:t>
            </w:r>
            <w:r>
              <w:rPr>
                <w:rFonts w:cs="Arial"/>
                <w:sz w:val="20"/>
                <w:szCs w:val="20"/>
              </w:rPr>
              <w:t>.0</w:t>
            </w:r>
          </w:p>
          <w:p w14:paraId="3343C9C1" w14:textId="77777777" w:rsidR="000E65D6" w:rsidRPr="00653C4B" w:rsidRDefault="000E65D6" w:rsidP="005C1518">
            <w:pPr>
              <w:jc w:val="both"/>
              <w:rPr>
                <w:rFonts w:cs="Arial"/>
                <w:sz w:val="20"/>
                <w:szCs w:val="20"/>
              </w:rPr>
            </w:pPr>
          </w:p>
        </w:tc>
      </w:tr>
      <w:tr w:rsidR="00E84938" w14:paraId="6B1E00C2" w14:textId="77777777" w:rsidTr="00F52060">
        <w:trPr>
          <w:cantSplit/>
        </w:trPr>
        <w:tc>
          <w:tcPr>
            <w:tcW w:w="1975" w:type="dxa"/>
          </w:tcPr>
          <w:p w14:paraId="6C7C63DE" w14:textId="77777777" w:rsidR="00E84938" w:rsidRPr="001D77F7" w:rsidRDefault="00E84938" w:rsidP="008724D6">
            <w:pPr>
              <w:jc w:val="right"/>
              <w:rPr>
                <w:b/>
              </w:rPr>
            </w:pPr>
            <w:r w:rsidRPr="00197677">
              <w:rPr>
                <w:rFonts w:cs="Arial"/>
                <w:sz w:val="20"/>
                <w:szCs w:val="20"/>
              </w:rPr>
              <w:t>Requirements</w:t>
            </w:r>
          </w:p>
        </w:tc>
        <w:tc>
          <w:tcPr>
            <w:tcW w:w="7375" w:type="dxa"/>
          </w:tcPr>
          <w:p w14:paraId="7645B42C" w14:textId="792C101C" w:rsidR="00AF368D" w:rsidRPr="00A33072" w:rsidRDefault="00A33072" w:rsidP="001D6A64">
            <w:pPr>
              <w:jc w:val="both"/>
              <w:rPr>
                <w:rFonts w:cs="Arial"/>
                <w:sz w:val="20"/>
                <w:szCs w:val="20"/>
              </w:rPr>
            </w:pPr>
            <w:r>
              <w:rPr>
                <w:rFonts w:cs="Arial"/>
                <w:sz w:val="20"/>
                <w:szCs w:val="20"/>
              </w:rPr>
              <w:t>No Changes from REV 0.0</w:t>
            </w:r>
          </w:p>
        </w:tc>
      </w:tr>
      <w:tr w:rsidR="00AF368D" w14:paraId="759B9222" w14:textId="77777777" w:rsidTr="008B2A51">
        <w:trPr>
          <w:cantSplit/>
        </w:trPr>
        <w:tc>
          <w:tcPr>
            <w:tcW w:w="9350" w:type="dxa"/>
            <w:gridSpan w:val="2"/>
          </w:tcPr>
          <w:p w14:paraId="790FFE4C" w14:textId="77777777" w:rsidR="00AF368D" w:rsidRPr="00D86243" w:rsidRDefault="00AF368D" w:rsidP="00393EC8">
            <w:pPr>
              <w:rPr>
                <w:rFonts w:cs="Arial"/>
                <w:sz w:val="20"/>
                <w:szCs w:val="20"/>
              </w:rPr>
            </w:pPr>
            <w:r w:rsidRPr="001D77F7">
              <w:rPr>
                <w:b/>
              </w:rPr>
              <w:t>1.3 Installation Type and Delivery Mechanisms</w:t>
            </w:r>
          </w:p>
        </w:tc>
      </w:tr>
      <w:tr w:rsidR="00DB71F1" w14:paraId="5168566D" w14:textId="77777777" w:rsidTr="00F52060">
        <w:trPr>
          <w:cantSplit/>
        </w:trPr>
        <w:tc>
          <w:tcPr>
            <w:tcW w:w="1975" w:type="dxa"/>
            <w:vAlign w:val="center"/>
          </w:tcPr>
          <w:p w14:paraId="6C420B2D" w14:textId="77777777" w:rsidR="00DB71F1" w:rsidRPr="00822B6F" w:rsidRDefault="00DB71F1" w:rsidP="00393EC8">
            <w:pPr>
              <w:jc w:val="right"/>
              <w:rPr>
                <w:sz w:val="20"/>
                <w:szCs w:val="20"/>
              </w:rPr>
            </w:pPr>
            <w:r w:rsidRPr="00822B6F">
              <w:rPr>
                <w:sz w:val="20"/>
                <w:szCs w:val="20"/>
              </w:rPr>
              <w:t>Installation Type</w:t>
            </w:r>
          </w:p>
        </w:tc>
        <w:tc>
          <w:tcPr>
            <w:tcW w:w="7375" w:type="dxa"/>
          </w:tcPr>
          <w:p w14:paraId="3CB39BAF" w14:textId="77777777" w:rsidR="00CF2ABA" w:rsidRPr="00F52060" w:rsidRDefault="00F52060" w:rsidP="00FE636E">
            <w:pPr>
              <w:rPr>
                <w:rFonts w:cs="Arial"/>
                <w:sz w:val="20"/>
                <w:szCs w:val="20"/>
              </w:rPr>
            </w:pPr>
            <w:r w:rsidRPr="00F52060">
              <w:rPr>
                <w:sz w:val="20"/>
                <w:szCs w:val="20"/>
              </w:rPr>
              <w:t>Retrofit Add-on (REA)</w:t>
            </w:r>
          </w:p>
        </w:tc>
      </w:tr>
      <w:tr w:rsidR="00DB71F1" w14:paraId="7FC5D739" w14:textId="77777777" w:rsidTr="00F52060">
        <w:trPr>
          <w:cantSplit/>
        </w:trPr>
        <w:tc>
          <w:tcPr>
            <w:tcW w:w="1975" w:type="dxa"/>
            <w:vAlign w:val="center"/>
          </w:tcPr>
          <w:p w14:paraId="2AC862E0" w14:textId="77777777" w:rsidR="00DB71F1" w:rsidRPr="00822B6F" w:rsidRDefault="00DB71F1" w:rsidP="00393EC8">
            <w:pPr>
              <w:jc w:val="right"/>
              <w:rPr>
                <w:sz w:val="20"/>
                <w:szCs w:val="20"/>
              </w:rPr>
            </w:pPr>
            <w:r w:rsidRPr="00822B6F">
              <w:rPr>
                <w:sz w:val="20"/>
                <w:szCs w:val="20"/>
              </w:rPr>
              <w:t>Delivery Mechanisms</w:t>
            </w:r>
          </w:p>
        </w:tc>
        <w:tc>
          <w:tcPr>
            <w:tcW w:w="7375" w:type="dxa"/>
          </w:tcPr>
          <w:p w14:paraId="26ABF1A6" w14:textId="77777777" w:rsidR="00B9551F" w:rsidRDefault="001046CB" w:rsidP="00FE636E">
            <w:pPr>
              <w:rPr>
                <w:rFonts w:cs="Arial"/>
                <w:sz w:val="20"/>
                <w:szCs w:val="20"/>
              </w:rPr>
            </w:pPr>
            <w:r w:rsidRPr="00B00846">
              <w:rPr>
                <w:rFonts w:cs="Arial"/>
                <w:sz w:val="20"/>
                <w:szCs w:val="20"/>
              </w:rPr>
              <w:t>Direct Install</w:t>
            </w:r>
          </w:p>
          <w:p w14:paraId="6485E598" w14:textId="3E5ACAAA" w:rsidR="00F00743" w:rsidRPr="00FE636E" w:rsidRDefault="00F00743" w:rsidP="00FE636E">
            <w:pPr>
              <w:rPr>
                <w:rFonts w:cs="Arial"/>
                <w:sz w:val="20"/>
                <w:szCs w:val="20"/>
              </w:rPr>
            </w:pPr>
            <w:r>
              <w:rPr>
                <w:rFonts w:cs="Arial"/>
                <w:sz w:val="20"/>
                <w:szCs w:val="20"/>
              </w:rPr>
              <w:t>Downstream</w:t>
            </w:r>
            <w:r w:rsidR="00A33072">
              <w:rPr>
                <w:rFonts w:cs="Arial"/>
                <w:sz w:val="20"/>
                <w:szCs w:val="20"/>
              </w:rPr>
              <w:t xml:space="preserve"> (new for REV 0.1)</w:t>
            </w:r>
          </w:p>
        </w:tc>
      </w:tr>
      <w:tr w:rsidR="00DD2F3D" w14:paraId="7167182E" w14:textId="77777777" w:rsidTr="00FB7615">
        <w:trPr>
          <w:cantSplit/>
        </w:trPr>
        <w:tc>
          <w:tcPr>
            <w:tcW w:w="9350" w:type="dxa"/>
            <w:gridSpan w:val="2"/>
          </w:tcPr>
          <w:p w14:paraId="63DEB232" w14:textId="77777777" w:rsidR="00DD2F3D" w:rsidRDefault="00DD2F3D" w:rsidP="00393EC8">
            <w:r w:rsidRPr="001D77F7">
              <w:rPr>
                <w:b/>
              </w:rPr>
              <w:t>1.4.1 DEER Data</w:t>
            </w:r>
          </w:p>
        </w:tc>
      </w:tr>
      <w:tr w:rsidR="00A61271" w14:paraId="066131AC" w14:textId="77777777" w:rsidTr="00F52060">
        <w:trPr>
          <w:cantSplit/>
        </w:trPr>
        <w:tc>
          <w:tcPr>
            <w:tcW w:w="1975" w:type="dxa"/>
            <w:vAlign w:val="center"/>
          </w:tcPr>
          <w:p w14:paraId="1B178BC2" w14:textId="77777777" w:rsidR="00A61271" w:rsidRPr="00822B6F" w:rsidRDefault="00A61271" w:rsidP="00393EC8">
            <w:pPr>
              <w:jc w:val="right"/>
              <w:rPr>
                <w:sz w:val="20"/>
                <w:szCs w:val="20"/>
              </w:rPr>
            </w:pPr>
            <w:r w:rsidRPr="00822B6F">
              <w:rPr>
                <w:sz w:val="20"/>
                <w:szCs w:val="20"/>
              </w:rPr>
              <w:t>Net-to-Gross Ratio</w:t>
            </w:r>
          </w:p>
        </w:tc>
        <w:tc>
          <w:tcPr>
            <w:tcW w:w="7375" w:type="dxa"/>
          </w:tcPr>
          <w:p w14:paraId="27D7BB44" w14:textId="77777777" w:rsidR="00A33072" w:rsidRPr="000E65D6" w:rsidRDefault="00A33072" w:rsidP="00A33072">
            <w:pPr>
              <w:jc w:val="both"/>
              <w:rPr>
                <w:rFonts w:cs="Arial"/>
                <w:sz w:val="20"/>
                <w:szCs w:val="20"/>
              </w:rPr>
            </w:pPr>
            <w:r>
              <w:rPr>
                <w:rFonts w:cs="Arial"/>
                <w:sz w:val="20"/>
                <w:szCs w:val="20"/>
              </w:rPr>
              <w:t>No Changes from REV 0.0</w:t>
            </w:r>
          </w:p>
          <w:p w14:paraId="09D68962" w14:textId="77777777" w:rsidR="0090016E" w:rsidRPr="00D86243" w:rsidRDefault="0090016E" w:rsidP="00393EC8">
            <w:pPr>
              <w:tabs>
                <w:tab w:val="right" w:pos="6732"/>
              </w:tabs>
              <w:rPr>
                <w:rFonts w:cs="Arial"/>
                <w:sz w:val="20"/>
                <w:szCs w:val="20"/>
              </w:rPr>
            </w:pPr>
          </w:p>
        </w:tc>
      </w:tr>
      <w:tr w:rsidR="00A61271" w14:paraId="23763F29" w14:textId="77777777" w:rsidTr="00AF368D">
        <w:trPr>
          <w:cantSplit/>
          <w:trHeight w:val="845"/>
        </w:trPr>
        <w:tc>
          <w:tcPr>
            <w:tcW w:w="1975" w:type="dxa"/>
            <w:vAlign w:val="center"/>
          </w:tcPr>
          <w:p w14:paraId="59BB4862" w14:textId="77777777" w:rsidR="00A61271" w:rsidRPr="00822B6F" w:rsidRDefault="00A61271" w:rsidP="00393EC8">
            <w:pPr>
              <w:jc w:val="right"/>
              <w:rPr>
                <w:sz w:val="20"/>
                <w:szCs w:val="20"/>
              </w:rPr>
            </w:pPr>
            <w:r w:rsidRPr="00822B6F">
              <w:rPr>
                <w:sz w:val="20"/>
                <w:szCs w:val="20"/>
              </w:rPr>
              <w:t>Effective and Remaining Useful Life</w:t>
            </w:r>
          </w:p>
        </w:tc>
        <w:tc>
          <w:tcPr>
            <w:tcW w:w="7375" w:type="dxa"/>
          </w:tcPr>
          <w:p w14:paraId="29B1C243" w14:textId="53847155" w:rsidR="004748BE" w:rsidRPr="00D86243" w:rsidRDefault="00A33072" w:rsidP="00A33072">
            <w:pPr>
              <w:jc w:val="both"/>
              <w:rPr>
                <w:rFonts w:cs="Arial"/>
                <w:sz w:val="20"/>
                <w:szCs w:val="20"/>
              </w:rPr>
            </w:pPr>
            <w:r>
              <w:rPr>
                <w:rFonts w:cs="Arial"/>
                <w:sz w:val="20"/>
                <w:szCs w:val="20"/>
              </w:rPr>
              <w:t>No Changes from REV 0.0</w:t>
            </w:r>
          </w:p>
        </w:tc>
      </w:tr>
      <w:tr w:rsidR="002D7807" w14:paraId="3AFEBA66" w14:textId="77777777" w:rsidTr="00AF368D">
        <w:trPr>
          <w:cantSplit/>
          <w:trHeight w:val="845"/>
        </w:trPr>
        <w:tc>
          <w:tcPr>
            <w:tcW w:w="1975" w:type="dxa"/>
            <w:vAlign w:val="center"/>
          </w:tcPr>
          <w:p w14:paraId="0A61D1ED" w14:textId="77777777" w:rsidR="002D7807" w:rsidRPr="00822B6F" w:rsidRDefault="002D7807" w:rsidP="00393EC8">
            <w:pPr>
              <w:jc w:val="right"/>
              <w:rPr>
                <w:sz w:val="20"/>
                <w:szCs w:val="20"/>
              </w:rPr>
            </w:pPr>
            <w:r>
              <w:rPr>
                <w:sz w:val="20"/>
                <w:szCs w:val="20"/>
              </w:rPr>
              <w:t>GSIA</w:t>
            </w:r>
          </w:p>
        </w:tc>
        <w:tc>
          <w:tcPr>
            <w:tcW w:w="7375" w:type="dxa"/>
          </w:tcPr>
          <w:p w14:paraId="287F697D" w14:textId="1D0ABB15" w:rsidR="00132B69" w:rsidRPr="004748BE" w:rsidRDefault="00A33072" w:rsidP="00A33072">
            <w:pPr>
              <w:jc w:val="both"/>
              <w:rPr>
                <w:rFonts w:cs="Arial"/>
                <w:sz w:val="20"/>
                <w:szCs w:val="20"/>
              </w:rPr>
            </w:pPr>
            <w:r>
              <w:rPr>
                <w:rFonts w:cs="Arial"/>
                <w:sz w:val="20"/>
                <w:szCs w:val="20"/>
              </w:rPr>
              <w:t>No Changes from REV 0.0</w:t>
            </w:r>
          </w:p>
        </w:tc>
      </w:tr>
      <w:tr w:rsidR="00AF368D" w14:paraId="49A2DCE8" w14:textId="77777777" w:rsidTr="00AF368D">
        <w:trPr>
          <w:cantSplit/>
          <w:trHeight w:val="458"/>
        </w:trPr>
        <w:tc>
          <w:tcPr>
            <w:tcW w:w="9350" w:type="dxa"/>
            <w:gridSpan w:val="2"/>
            <w:vAlign w:val="center"/>
          </w:tcPr>
          <w:p w14:paraId="5941BAA9" w14:textId="77777777" w:rsidR="00AF368D" w:rsidRPr="00241A1F" w:rsidRDefault="00AF368D" w:rsidP="00AF368D">
            <w:pPr>
              <w:rPr>
                <w:rFonts w:cs="Arial"/>
                <w:sz w:val="20"/>
                <w:szCs w:val="20"/>
              </w:rPr>
            </w:pPr>
            <w:r w:rsidRPr="001D77F7">
              <w:rPr>
                <w:b/>
              </w:rPr>
              <w:t>Section 2. Calculation Methodology</w:t>
            </w:r>
          </w:p>
        </w:tc>
      </w:tr>
      <w:tr w:rsidR="00A61271" w14:paraId="3AE19B38" w14:textId="77777777" w:rsidTr="00F52060">
        <w:trPr>
          <w:cantSplit/>
        </w:trPr>
        <w:tc>
          <w:tcPr>
            <w:tcW w:w="1975" w:type="dxa"/>
            <w:vAlign w:val="center"/>
          </w:tcPr>
          <w:p w14:paraId="08017F42" w14:textId="77777777" w:rsidR="00A61271" w:rsidRDefault="00A61271" w:rsidP="00787D7C">
            <w:pPr>
              <w:jc w:val="right"/>
            </w:pPr>
            <w:r>
              <w:rPr>
                <w:rFonts w:cs="Arial"/>
                <w:sz w:val="20"/>
                <w:szCs w:val="20"/>
              </w:rPr>
              <w:lastRenderedPageBreak/>
              <w:t>Energy Savings/Peak Demand Reduction – All Measures</w:t>
            </w:r>
          </w:p>
        </w:tc>
        <w:tc>
          <w:tcPr>
            <w:tcW w:w="7375" w:type="dxa"/>
          </w:tcPr>
          <w:p w14:paraId="1A1536BC" w14:textId="7ADB6657" w:rsidR="00E83424" w:rsidRPr="00555671" w:rsidRDefault="00A33072" w:rsidP="00A33072">
            <w:pPr>
              <w:jc w:val="both"/>
              <w:rPr>
                <w:rFonts w:cs="Arial"/>
                <w:sz w:val="20"/>
                <w:szCs w:val="20"/>
              </w:rPr>
            </w:pPr>
            <w:r>
              <w:rPr>
                <w:rFonts w:cs="Arial"/>
                <w:sz w:val="20"/>
                <w:szCs w:val="20"/>
              </w:rPr>
              <w:t>No Changes from REV 0.0</w:t>
            </w:r>
            <w:bookmarkStart w:id="1" w:name="_GoBack"/>
            <w:bookmarkEnd w:id="1"/>
          </w:p>
        </w:tc>
      </w:tr>
      <w:tr w:rsidR="00DD2F3D" w14:paraId="098E0A5E" w14:textId="77777777" w:rsidTr="00C502C1">
        <w:trPr>
          <w:cantSplit/>
        </w:trPr>
        <w:tc>
          <w:tcPr>
            <w:tcW w:w="9350" w:type="dxa"/>
            <w:gridSpan w:val="2"/>
            <w:vAlign w:val="center"/>
          </w:tcPr>
          <w:p w14:paraId="7C0C93C6" w14:textId="77777777" w:rsidR="00DD2F3D" w:rsidRPr="00476F40" w:rsidRDefault="00DD2F3D">
            <w:pPr>
              <w:tabs>
                <w:tab w:val="right" w:pos="6732"/>
              </w:tabs>
              <w:rPr>
                <w:rFonts w:cs="Arial"/>
                <w:sz w:val="20"/>
                <w:szCs w:val="20"/>
              </w:rPr>
            </w:pPr>
            <w:r w:rsidRPr="001D77F7">
              <w:rPr>
                <w:b/>
              </w:rPr>
              <w:t>Section 3. Load Shapes</w:t>
            </w:r>
          </w:p>
        </w:tc>
      </w:tr>
      <w:tr w:rsidR="00DD2F3D" w14:paraId="3C985753" w14:textId="77777777" w:rsidTr="00F52060">
        <w:trPr>
          <w:cantSplit/>
        </w:trPr>
        <w:tc>
          <w:tcPr>
            <w:tcW w:w="1975" w:type="dxa"/>
            <w:vAlign w:val="center"/>
          </w:tcPr>
          <w:p w14:paraId="2930804E" w14:textId="77777777" w:rsidR="00DD2F3D" w:rsidRPr="00DD2F3D" w:rsidRDefault="00DD2F3D" w:rsidP="00393EC8">
            <w:r>
              <w:t>Load Shape</w:t>
            </w:r>
          </w:p>
        </w:tc>
        <w:tc>
          <w:tcPr>
            <w:tcW w:w="7375" w:type="dxa"/>
          </w:tcPr>
          <w:p w14:paraId="0E0F94BF" w14:textId="77777777" w:rsidR="00A33072" w:rsidRPr="000E65D6" w:rsidRDefault="00A33072" w:rsidP="00A33072">
            <w:pPr>
              <w:jc w:val="both"/>
              <w:rPr>
                <w:rFonts w:cs="Arial"/>
                <w:sz w:val="20"/>
                <w:szCs w:val="20"/>
              </w:rPr>
            </w:pPr>
            <w:r>
              <w:rPr>
                <w:rFonts w:cs="Arial"/>
                <w:sz w:val="20"/>
                <w:szCs w:val="20"/>
              </w:rPr>
              <w:t>No Changes from REV 0.0</w:t>
            </w:r>
          </w:p>
          <w:p w14:paraId="44B7071A" w14:textId="0D22E09D" w:rsidR="00DD2F3D" w:rsidRDefault="00DD2F3D">
            <w:pPr>
              <w:tabs>
                <w:tab w:val="right" w:pos="6732"/>
              </w:tabs>
              <w:rPr>
                <w:rFonts w:cstheme="minorHAnsi"/>
                <w:bCs/>
                <w:sz w:val="20"/>
              </w:rPr>
            </w:pPr>
          </w:p>
        </w:tc>
      </w:tr>
      <w:tr w:rsidR="00AF368D" w14:paraId="2591BE2B" w14:textId="77777777" w:rsidTr="00BE43F2">
        <w:trPr>
          <w:cantSplit/>
        </w:trPr>
        <w:tc>
          <w:tcPr>
            <w:tcW w:w="9350" w:type="dxa"/>
            <w:gridSpan w:val="2"/>
            <w:vAlign w:val="center"/>
          </w:tcPr>
          <w:p w14:paraId="3B5ACDB0" w14:textId="77777777"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14:paraId="257EB581" w14:textId="77777777" w:rsidTr="001B028A">
        <w:trPr>
          <w:cantSplit/>
        </w:trPr>
        <w:tc>
          <w:tcPr>
            <w:tcW w:w="9350" w:type="dxa"/>
            <w:gridSpan w:val="2"/>
            <w:vAlign w:val="center"/>
          </w:tcPr>
          <w:p w14:paraId="63393A4E" w14:textId="77777777" w:rsidR="00AF368D" w:rsidRDefault="00AF368D">
            <w:pPr>
              <w:tabs>
                <w:tab w:val="right" w:pos="6732"/>
              </w:tabs>
              <w:rPr>
                <w:rFonts w:cstheme="minorHAnsi"/>
                <w:bCs/>
                <w:sz w:val="20"/>
              </w:rPr>
            </w:pPr>
            <w:r>
              <w:rPr>
                <w:b/>
              </w:rPr>
              <w:t>Section 4.1 Base and Measure Costs</w:t>
            </w:r>
          </w:p>
        </w:tc>
      </w:tr>
      <w:tr w:rsidR="00244805" w14:paraId="2B825504" w14:textId="77777777" w:rsidTr="00F44876">
        <w:trPr>
          <w:cantSplit/>
          <w:trHeight w:val="575"/>
        </w:trPr>
        <w:tc>
          <w:tcPr>
            <w:tcW w:w="1975" w:type="dxa"/>
          </w:tcPr>
          <w:p w14:paraId="0905D050" w14:textId="77777777" w:rsidR="00244805" w:rsidRPr="00D91B6C" w:rsidRDefault="00244805" w:rsidP="00244805">
            <w:r w:rsidRPr="00D91B6C">
              <w:t>Base Cost</w:t>
            </w:r>
          </w:p>
        </w:tc>
        <w:tc>
          <w:tcPr>
            <w:tcW w:w="7375" w:type="dxa"/>
          </w:tcPr>
          <w:p w14:paraId="52EF7256" w14:textId="77777777" w:rsidR="00A33072" w:rsidRPr="000E65D6" w:rsidRDefault="00A33072" w:rsidP="00A33072">
            <w:pPr>
              <w:jc w:val="both"/>
              <w:rPr>
                <w:rFonts w:cs="Arial"/>
                <w:sz w:val="20"/>
                <w:szCs w:val="20"/>
              </w:rPr>
            </w:pPr>
            <w:r>
              <w:rPr>
                <w:rFonts w:cs="Arial"/>
                <w:sz w:val="20"/>
                <w:szCs w:val="20"/>
              </w:rPr>
              <w:t>No Changes from REV 0.0</w:t>
            </w:r>
          </w:p>
          <w:p w14:paraId="3F153440" w14:textId="4589CFA3" w:rsidR="00244805" w:rsidRPr="00F44876" w:rsidRDefault="00244805" w:rsidP="00244805">
            <w:pPr>
              <w:rPr>
                <w:sz w:val="20"/>
                <w:szCs w:val="20"/>
              </w:rPr>
            </w:pPr>
          </w:p>
        </w:tc>
      </w:tr>
      <w:tr w:rsidR="00244805" w14:paraId="3FBD5C64" w14:textId="77777777" w:rsidTr="00F52060">
        <w:trPr>
          <w:cantSplit/>
        </w:trPr>
        <w:tc>
          <w:tcPr>
            <w:tcW w:w="1975" w:type="dxa"/>
          </w:tcPr>
          <w:p w14:paraId="42044528" w14:textId="77777777" w:rsidR="00244805" w:rsidRPr="00D91B6C" w:rsidRDefault="00244805" w:rsidP="00244805">
            <w:r w:rsidRPr="00D91B6C">
              <w:t xml:space="preserve">Measure Cost </w:t>
            </w:r>
          </w:p>
        </w:tc>
        <w:tc>
          <w:tcPr>
            <w:tcW w:w="7375" w:type="dxa"/>
          </w:tcPr>
          <w:p w14:paraId="0E4C5D25" w14:textId="77777777" w:rsidR="00963C3D" w:rsidRDefault="00963C3D" w:rsidP="00B90F97">
            <w:pPr>
              <w:rPr>
                <w:sz w:val="20"/>
                <w:szCs w:val="20"/>
              </w:rPr>
            </w:pPr>
          </w:p>
          <w:p w14:paraId="518A1042" w14:textId="77777777" w:rsidR="00A33072" w:rsidRPr="000E65D6" w:rsidRDefault="00A33072" w:rsidP="00A33072">
            <w:pPr>
              <w:jc w:val="both"/>
              <w:rPr>
                <w:rFonts w:cs="Arial"/>
                <w:sz w:val="20"/>
                <w:szCs w:val="20"/>
              </w:rPr>
            </w:pPr>
            <w:r>
              <w:rPr>
                <w:rFonts w:cs="Arial"/>
                <w:sz w:val="20"/>
                <w:szCs w:val="20"/>
              </w:rPr>
              <w:t>No Changes from REV 0.0</w:t>
            </w:r>
          </w:p>
          <w:p w14:paraId="65B7301B" w14:textId="2029E4BB" w:rsidR="008078B2" w:rsidRPr="00F44876" w:rsidRDefault="008078B2" w:rsidP="00B90F97">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11742" w14:textId="77777777" w:rsidR="00222423" w:rsidRDefault="00222423" w:rsidP="00FE520B">
      <w:r>
        <w:separator/>
      </w:r>
    </w:p>
  </w:endnote>
  <w:endnote w:type="continuationSeparator" w:id="0">
    <w:p w14:paraId="5364FEC6" w14:textId="77777777" w:rsidR="00222423" w:rsidRDefault="00222423" w:rsidP="00FE520B">
      <w:r>
        <w:continuationSeparator/>
      </w:r>
    </w:p>
  </w:endnote>
  <w:endnote w:id="1">
    <w:p w14:paraId="5F03D6F9" w14:textId="77777777" w:rsidR="00870139" w:rsidRPr="00027C83" w:rsidRDefault="00870139" w:rsidP="00870139">
      <w:pPr>
        <w:pStyle w:val="EndnoteText"/>
        <w:rPr>
          <w:lang w:val="en-US"/>
        </w:rPr>
      </w:pPr>
      <w:r>
        <w:rPr>
          <w:rStyle w:val="EndnoteReference"/>
        </w:rPr>
        <w:endnoteRef/>
      </w:r>
      <w:r>
        <w:t xml:space="preserve"> </w:t>
      </w:r>
      <w:r w:rsidRPr="00027C83">
        <w:t>California Public Utilities Commission, Energy Division</w:t>
      </w:r>
      <w:r>
        <w:t>. W</w:t>
      </w:r>
      <w:r>
        <w:rPr>
          <w:lang w:val="en-US"/>
        </w:rPr>
        <w:t>orkpaper Disposition for</w:t>
      </w:r>
    </w:p>
    <w:p w14:paraId="315AFB08" w14:textId="77777777" w:rsidR="00870139" w:rsidRDefault="00870139" w:rsidP="00870139">
      <w:pPr>
        <w:pStyle w:val="EndnoteText"/>
        <w:rPr>
          <w:rFonts w:ascii="Arial" w:hAnsi="Arial"/>
        </w:rPr>
      </w:pPr>
      <w:r>
        <w:t>Residential HVAC Quality Maintenance. Sa</w:t>
      </w:r>
      <w:r>
        <w:rPr>
          <w:lang w:val="en-US"/>
        </w:rPr>
        <w:t>cramento</w:t>
      </w:r>
      <w:r>
        <w:t>, CA (201</w:t>
      </w:r>
      <w:r>
        <w:rPr>
          <w:lang w:val="en-US"/>
        </w:rPr>
        <w:t>3</w:t>
      </w:r>
      <w:r>
        <w:t xml:space="preserve">, May </w:t>
      </w:r>
      <w:r>
        <w:rPr>
          <w:lang w:val="en-US"/>
        </w:rPr>
        <w:t>2</w:t>
      </w:r>
      <w:r>
        <w:t xml:space="preserve">). Retrieved </w:t>
      </w:r>
      <w:r>
        <w:rPr>
          <w:lang w:val="en-US"/>
        </w:rPr>
        <w:t>12/1/17</w:t>
      </w:r>
      <w:r>
        <w:t xml:space="preserve"> at </w:t>
      </w:r>
      <w:hyperlink r:id="rId1" w:history="1">
        <w:r>
          <w:rPr>
            <w:rStyle w:val="Hyperlink"/>
          </w:rPr>
          <w:t>http://deeresources.com/index.php/non-deer-workpapers</w:t>
        </w:r>
      </w:hyperlink>
      <w:r>
        <w:t>.</w:t>
      </w:r>
    </w:p>
  </w:endnote>
  <w:endnote w:id="2">
    <w:p w14:paraId="12E34880" w14:textId="77777777" w:rsidR="005D0DA1" w:rsidRDefault="005D0DA1" w:rsidP="005D0DA1">
      <w:pPr>
        <w:pStyle w:val="EndnoteText"/>
        <w:rPr>
          <w:rFonts w:ascii="Arial" w:hAnsi="Arial"/>
        </w:rPr>
      </w:pPr>
      <w:r>
        <w:rPr>
          <w:rStyle w:val="EndnoteReference"/>
        </w:rPr>
        <w:endnoteRef/>
      </w:r>
      <w:r>
        <w:t xml:space="preserve"> </w:t>
      </w:r>
      <w:proofErr w:type="spellStart"/>
      <w:r>
        <w:t>Itron</w:t>
      </w:r>
      <w:proofErr w:type="spellEnd"/>
      <w:r>
        <w:t xml:space="preserve">. 2010-2012 WO017 Ex Ante Measure Cost Study Final Report. San Francisco, CA (2014, May 27). Retrieved </w:t>
      </w:r>
      <w:r>
        <w:rPr>
          <w:lang w:val="en-US"/>
        </w:rPr>
        <w:t>11/14/17</w:t>
      </w:r>
      <w:r>
        <w:t xml:space="preserve"> at </w:t>
      </w:r>
      <w:hyperlink r:id="rId2"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39B3F" w14:textId="2CB57D7C" w:rsidR="008F2E00" w:rsidRPr="00241A1F" w:rsidRDefault="00B57F32" w:rsidP="00241A1F">
    <w:pPr>
      <w:pStyle w:val="Footer"/>
      <w:rPr>
        <w:rFonts w:cstheme="minorHAnsi"/>
        <w:b/>
        <w:szCs w:val="22"/>
      </w:rPr>
    </w:pPr>
    <w:r>
      <w:rPr>
        <w:b/>
      </w:rPr>
      <w:t xml:space="preserve">Workpaper </w:t>
    </w:r>
    <w:r w:rsidR="00BA1B6B" w:rsidRPr="00BA1B6B">
      <w:rPr>
        <w:b/>
      </w:rPr>
      <w:t>WPSDGEREHC0031</w:t>
    </w:r>
    <w:r>
      <w:rPr>
        <w:b/>
      </w:rPr>
      <w:t xml:space="preserve">, Revision </w:t>
    </w:r>
    <w:r w:rsidR="00BA1B6B">
      <w:rPr>
        <w:b/>
      </w:rPr>
      <w:t>0</w:t>
    </w:r>
    <w:r w:rsidR="00F00743">
      <w:rPr>
        <w:b/>
      </w:rPr>
      <w:t>.1</w:t>
    </w:r>
    <w:r w:rsidR="00E372B8">
      <w:rPr>
        <w:b/>
      </w:rPr>
      <w:tab/>
    </w:r>
    <w:r w:rsidR="00E372B8">
      <w:rPr>
        <w:b/>
      </w:rPr>
      <w:tab/>
    </w:r>
    <w:r w:rsidR="00F00743">
      <w:rPr>
        <w:rFonts w:cstheme="minorHAnsi"/>
        <w:b/>
        <w:szCs w:val="22"/>
      </w:rPr>
      <w:t>February</w:t>
    </w:r>
    <w:r w:rsidR="00870139">
      <w:rPr>
        <w:rFonts w:cstheme="minorHAnsi"/>
        <w:b/>
        <w:szCs w:val="22"/>
      </w:rPr>
      <w:t xml:space="preserve"> </w:t>
    </w:r>
    <w:r w:rsidR="00E83424">
      <w:rPr>
        <w:rFonts w:cstheme="minorHAnsi"/>
        <w:b/>
        <w:szCs w:val="22"/>
      </w:rPr>
      <w:t>2</w:t>
    </w:r>
    <w:r w:rsidR="00F00743">
      <w:rPr>
        <w:rFonts w:cstheme="minorHAnsi"/>
        <w:b/>
        <w:szCs w:val="22"/>
      </w:rPr>
      <w:t>8, 2018</w:t>
    </w:r>
  </w:p>
  <w:p w14:paraId="198790A9" w14:textId="313BC4B4"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A33072">
      <w:rPr>
        <w:b/>
        <w:noProof/>
      </w:rPr>
      <w:t>2</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7B405" w14:textId="77777777" w:rsidR="00222423" w:rsidRDefault="00222423" w:rsidP="00FE520B">
      <w:r>
        <w:separator/>
      </w:r>
    </w:p>
  </w:footnote>
  <w:footnote w:type="continuationSeparator" w:id="0">
    <w:p w14:paraId="07341949" w14:textId="77777777" w:rsidR="00222423" w:rsidRDefault="0022242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C32"/>
    <w:rsid w:val="00026FA7"/>
    <w:rsid w:val="00031221"/>
    <w:rsid w:val="00031BA0"/>
    <w:rsid w:val="00036A2C"/>
    <w:rsid w:val="00051762"/>
    <w:rsid w:val="00052743"/>
    <w:rsid w:val="00052CE4"/>
    <w:rsid w:val="00067315"/>
    <w:rsid w:val="00067AF1"/>
    <w:rsid w:val="000719BF"/>
    <w:rsid w:val="000A2B83"/>
    <w:rsid w:val="000A3A47"/>
    <w:rsid w:val="000B6542"/>
    <w:rsid w:val="000C13AE"/>
    <w:rsid w:val="000C19C4"/>
    <w:rsid w:val="000C441A"/>
    <w:rsid w:val="000D243C"/>
    <w:rsid w:val="000E19CA"/>
    <w:rsid w:val="000E2BAF"/>
    <w:rsid w:val="000E2CA6"/>
    <w:rsid w:val="000E6540"/>
    <w:rsid w:val="000E65D6"/>
    <w:rsid w:val="000E69F0"/>
    <w:rsid w:val="000F5B93"/>
    <w:rsid w:val="000F6BA3"/>
    <w:rsid w:val="000F72EF"/>
    <w:rsid w:val="001039B0"/>
    <w:rsid w:val="001046CB"/>
    <w:rsid w:val="00121B4E"/>
    <w:rsid w:val="0012271D"/>
    <w:rsid w:val="00131C78"/>
    <w:rsid w:val="00132B69"/>
    <w:rsid w:val="00143843"/>
    <w:rsid w:val="001505DA"/>
    <w:rsid w:val="001518E0"/>
    <w:rsid w:val="0016189C"/>
    <w:rsid w:val="001752E5"/>
    <w:rsid w:val="00183A2F"/>
    <w:rsid w:val="00194466"/>
    <w:rsid w:val="001979FF"/>
    <w:rsid w:val="001A11C1"/>
    <w:rsid w:val="001A4875"/>
    <w:rsid w:val="001B1C8A"/>
    <w:rsid w:val="001B5D6C"/>
    <w:rsid w:val="001C3663"/>
    <w:rsid w:val="001D0AB9"/>
    <w:rsid w:val="001D57D7"/>
    <w:rsid w:val="001D6A64"/>
    <w:rsid w:val="001E1F6A"/>
    <w:rsid w:val="001F36D8"/>
    <w:rsid w:val="001F64F8"/>
    <w:rsid w:val="00200310"/>
    <w:rsid w:val="00201A3F"/>
    <w:rsid w:val="00215828"/>
    <w:rsid w:val="00222423"/>
    <w:rsid w:val="00231DE1"/>
    <w:rsid w:val="00235AFB"/>
    <w:rsid w:val="00241A1F"/>
    <w:rsid w:val="00244447"/>
    <w:rsid w:val="00244805"/>
    <w:rsid w:val="00285F4F"/>
    <w:rsid w:val="00291B2B"/>
    <w:rsid w:val="00295895"/>
    <w:rsid w:val="002C1030"/>
    <w:rsid w:val="002C15E6"/>
    <w:rsid w:val="002D0BD6"/>
    <w:rsid w:val="002D7807"/>
    <w:rsid w:val="002D7B3E"/>
    <w:rsid w:val="002E0948"/>
    <w:rsid w:val="002E24BE"/>
    <w:rsid w:val="002F24CE"/>
    <w:rsid w:val="00323C28"/>
    <w:rsid w:val="0032761E"/>
    <w:rsid w:val="0034557D"/>
    <w:rsid w:val="00360CFA"/>
    <w:rsid w:val="00373EC5"/>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1763"/>
    <w:rsid w:val="004402EE"/>
    <w:rsid w:val="004405C8"/>
    <w:rsid w:val="004452CE"/>
    <w:rsid w:val="0044686E"/>
    <w:rsid w:val="00446BE5"/>
    <w:rsid w:val="004519B4"/>
    <w:rsid w:val="00462760"/>
    <w:rsid w:val="004638E4"/>
    <w:rsid w:val="00467DB3"/>
    <w:rsid w:val="004748BE"/>
    <w:rsid w:val="00492365"/>
    <w:rsid w:val="004A6215"/>
    <w:rsid w:val="004B01C6"/>
    <w:rsid w:val="004D0326"/>
    <w:rsid w:val="004D5D19"/>
    <w:rsid w:val="004E13B2"/>
    <w:rsid w:val="004E1E7E"/>
    <w:rsid w:val="004F3B6F"/>
    <w:rsid w:val="00513723"/>
    <w:rsid w:val="005248E2"/>
    <w:rsid w:val="005428E1"/>
    <w:rsid w:val="00543687"/>
    <w:rsid w:val="00555671"/>
    <w:rsid w:val="005613FC"/>
    <w:rsid w:val="00567FEF"/>
    <w:rsid w:val="00576816"/>
    <w:rsid w:val="00580664"/>
    <w:rsid w:val="0059117D"/>
    <w:rsid w:val="00591D85"/>
    <w:rsid w:val="0059663B"/>
    <w:rsid w:val="005A08D4"/>
    <w:rsid w:val="005B5614"/>
    <w:rsid w:val="005C1518"/>
    <w:rsid w:val="005D0DA1"/>
    <w:rsid w:val="005D5D5A"/>
    <w:rsid w:val="005E18A1"/>
    <w:rsid w:val="00606E8C"/>
    <w:rsid w:val="006173CC"/>
    <w:rsid w:val="0062489A"/>
    <w:rsid w:val="00636490"/>
    <w:rsid w:val="006374F1"/>
    <w:rsid w:val="00650C31"/>
    <w:rsid w:val="00650F0D"/>
    <w:rsid w:val="0065373B"/>
    <w:rsid w:val="00653C4B"/>
    <w:rsid w:val="00666CDA"/>
    <w:rsid w:val="00682E19"/>
    <w:rsid w:val="00684ABA"/>
    <w:rsid w:val="00686789"/>
    <w:rsid w:val="006875B3"/>
    <w:rsid w:val="00695478"/>
    <w:rsid w:val="006A2C49"/>
    <w:rsid w:val="006A3E63"/>
    <w:rsid w:val="006B0D5C"/>
    <w:rsid w:val="006B4F62"/>
    <w:rsid w:val="006D03F9"/>
    <w:rsid w:val="006D2B70"/>
    <w:rsid w:val="00707736"/>
    <w:rsid w:val="00711B58"/>
    <w:rsid w:val="00722C9C"/>
    <w:rsid w:val="00727839"/>
    <w:rsid w:val="00752529"/>
    <w:rsid w:val="0075514D"/>
    <w:rsid w:val="00757057"/>
    <w:rsid w:val="00762D81"/>
    <w:rsid w:val="00764A26"/>
    <w:rsid w:val="0078006D"/>
    <w:rsid w:val="0078177A"/>
    <w:rsid w:val="00785AC8"/>
    <w:rsid w:val="00786E32"/>
    <w:rsid w:val="00787D7C"/>
    <w:rsid w:val="00792928"/>
    <w:rsid w:val="00797B54"/>
    <w:rsid w:val="007B18FE"/>
    <w:rsid w:val="007C544A"/>
    <w:rsid w:val="007D1A21"/>
    <w:rsid w:val="007D1F1E"/>
    <w:rsid w:val="007D3A21"/>
    <w:rsid w:val="007D4F8E"/>
    <w:rsid w:val="007D6FF1"/>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4AC7"/>
    <w:rsid w:val="00884B9C"/>
    <w:rsid w:val="00895D80"/>
    <w:rsid w:val="008A1557"/>
    <w:rsid w:val="008A1D1C"/>
    <w:rsid w:val="008A4224"/>
    <w:rsid w:val="008B5184"/>
    <w:rsid w:val="008B55C2"/>
    <w:rsid w:val="008C01F7"/>
    <w:rsid w:val="008C1BDA"/>
    <w:rsid w:val="008C2C8A"/>
    <w:rsid w:val="008D0B3C"/>
    <w:rsid w:val="008E05E3"/>
    <w:rsid w:val="008E0850"/>
    <w:rsid w:val="008E5CD5"/>
    <w:rsid w:val="0090016E"/>
    <w:rsid w:val="00903A2C"/>
    <w:rsid w:val="00910D54"/>
    <w:rsid w:val="00920B07"/>
    <w:rsid w:val="00925509"/>
    <w:rsid w:val="0093460A"/>
    <w:rsid w:val="0093657B"/>
    <w:rsid w:val="009374BC"/>
    <w:rsid w:val="0094267E"/>
    <w:rsid w:val="00950249"/>
    <w:rsid w:val="00957C01"/>
    <w:rsid w:val="009618BA"/>
    <w:rsid w:val="00963C3D"/>
    <w:rsid w:val="00985CB7"/>
    <w:rsid w:val="00986A83"/>
    <w:rsid w:val="00993CC0"/>
    <w:rsid w:val="009B5444"/>
    <w:rsid w:val="009C3F2D"/>
    <w:rsid w:val="009C6AE8"/>
    <w:rsid w:val="009E1662"/>
    <w:rsid w:val="009F3770"/>
    <w:rsid w:val="00A051D9"/>
    <w:rsid w:val="00A21710"/>
    <w:rsid w:val="00A33072"/>
    <w:rsid w:val="00A3401B"/>
    <w:rsid w:val="00A578F7"/>
    <w:rsid w:val="00A61271"/>
    <w:rsid w:val="00A741B2"/>
    <w:rsid w:val="00A75EDC"/>
    <w:rsid w:val="00A827AB"/>
    <w:rsid w:val="00A82AF8"/>
    <w:rsid w:val="00A854EE"/>
    <w:rsid w:val="00A86ECB"/>
    <w:rsid w:val="00A90F14"/>
    <w:rsid w:val="00A9441E"/>
    <w:rsid w:val="00A96751"/>
    <w:rsid w:val="00AA43C4"/>
    <w:rsid w:val="00AB5449"/>
    <w:rsid w:val="00AC3C21"/>
    <w:rsid w:val="00AC696A"/>
    <w:rsid w:val="00AD034F"/>
    <w:rsid w:val="00AD3663"/>
    <w:rsid w:val="00AD74B2"/>
    <w:rsid w:val="00AE4353"/>
    <w:rsid w:val="00AF368D"/>
    <w:rsid w:val="00B00846"/>
    <w:rsid w:val="00B079DA"/>
    <w:rsid w:val="00B16652"/>
    <w:rsid w:val="00B26A01"/>
    <w:rsid w:val="00B26A30"/>
    <w:rsid w:val="00B30BB9"/>
    <w:rsid w:val="00B471CC"/>
    <w:rsid w:val="00B47B58"/>
    <w:rsid w:val="00B512B8"/>
    <w:rsid w:val="00B521D4"/>
    <w:rsid w:val="00B57F32"/>
    <w:rsid w:val="00B61FCD"/>
    <w:rsid w:val="00B75260"/>
    <w:rsid w:val="00B7668F"/>
    <w:rsid w:val="00B8285F"/>
    <w:rsid w:val="00B90F97"/>
    <w:rsid w:val="00B9234D"/>
    <w:rsid w:val="00B9551F"/>
    <w:rsid w:val="00BA1B6B"/>
    <w:rsid w:val="00BB285E"/>
    <w:rsid w:val="00BB2D80"/>
    <w:rsid w:val="00BC237D"/>
    <w:rsid w:val="00BC6454"/>
    <w:rsid w:val="00BD4AFD"/>
    <w:rsid w:val="00BD5433"/>
    <w:rsid w:val="00C048F4"/>
    <w:rsid w:val="00C05E32"/>
    <w:rsid w:val="00C06B9E"/>
    <w:rsid w:val="00C131CB"/>
    <w:rsid w:val="00C14DCC"/>
    <w:rsid w:val="00C15F66"/>
    <w:rsid w:val="00C228B0"/>
    <w:rsid w:val="00C23CAB"/>
    <w:rsid w:val="00C414A6"/>
    <w:rsid w:val="00C44E5A"/>
    <w:rsid w:val="00C462C1"/>
    <w:rsid w:val="00C52867"/>
    <w:rsid w:val="00C54AC6"/>
    <w:rsid w:val="00C6110B"/>
    <w:rsid w:val="00C62A00"/>
    <w:rsid w:val="00C63184"/>
    <w:rsid w:val="00C7215A"/>
    <w:rsid w:val="00C75814"/>
    <w:rsid w:val="00CA1C3F"/>
    <w:rsid w:val="00CA43ED"/>
    <w:rsid w:val="00CA48A0"/>
    <w:rsid w:val="00CB10BC"/>
    <w:rsid w:val="00CD0996"/>
    <w:rsid w:val="00CD0F98"/>
    <w:rsid w:val="00CF295D"/>
    <w:rsid w:val="00CF2ABA"/>
    <w:rsid w:val="00D02F02"/>
    <w:rsid w:val="00D204BF"/>
    <w:rsid w:val="00D33B3A"/>
    <w:rsid w:val="00D4142C"/>
    <w:rsid w:val="00D60240"/>
    <w:rsid w:val="00D645DB"/>
    <w:rsid w:val="00D73600"/>
    <w:rsid w:val="00D73723"/>
    <w:rsid w:val="00D7523C"/>
    <w:rsid w:val="00D808E8"/>
    <w:rsid w:val="00DA4D9F"/>
    <w:rsid w:val="00DA5D17"/>
    <w:rsid w:val="00DB544A"/>
    <w:rsid w:val="00DB71F1"/>
    <w:rsid w:val="00DC42DE"/>
    <w:rsid w:val="00DC4FA7"/>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72B8"/>
    <w:rsid w:val="00E408A9"/>
    <w:rsid w:val="00E455B7"/>
    <w:rsid w:val="00E56CE7"/>
    <w:rsid w:val="00E6385A"/>
    <w:rsid w:val="00E6631C"/>
    <w:rsid w:val="00E733C7"/>
    <w:rsid w:val="00E74325"/>
    <w:rsid w:val="00E76853"/>
    <w:rsid w:val="00E800A8"/>
    <w:rsid w:val="00E83424"/>
    <w:rsid w:val="00E84938"/>
    <w:rsid w:val="00E859F0"/>
    <w:rsid w:val="00E9295E"/>
    <w:rsid w:val="00EB2DBB"/>
    <w:rsid w:val="00EC2C0C"/>
    <w:rsid w:val="00EC34A0"/>
    <w:rsid w:val="00EC38B0"/>
    <w:rsid w:val="00EC550F"/>
    <w:rsid w:val="00ED3B34"/>
    <w:rsid w:val="00ED65C0"/>
    <w:rsid w:val="00EE38DA"/>
    <w:rsid w:val="00EE6CFE"/>
    <w:rsid w:val="00F00743"/>
    <w:rsid w:val="00F117C6"/>
    <w:rsid w:val="00F22251"/>
    <w:rsid w:val="00F3167F"/>
    <w:rsid w:val="00F4328B"/>
    <w:rsid w:val="00F44876"/>
    <w:rsid w:val="00F52060"/>
    <w:rsid w:val="00F66B1B"/>
    <w:rsid w:val="00F7209B"/>
    <w:rsid w:val="00F77C08"/>
    <w:rsid w:val="00F855DD"/>
    <w:rsid w:val="00F915C5"/>
    <w:rsid w:val="00FA3359"/>
    <w:rsid w:val="00FB3F41"/>
    <w:rsid w:val="00FB4B16"/>
    <w:rsid w:val="00FB6C42"/>
    <w:rsid w:val="00FC1793"/>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www.energydataweb.com/cpucFiles/pdaDocs/1100/2010-2012%20WO017%20Ex%20Ante%20Measure%20Cost%20Study%20-%20Final%20Report.pdf" TargetMode="External"/><Relationship Id="rId1" Type="http://schemas.openxmlformats.org/officeDocument/2006/relationships/hyperlink" Target="http://deeresources.com/index.php/non-deer-workpa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F66C04-7843-449F-A442-928FAC2D5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2017-12-28T23:40:00Z</dcterms:created>
  <dcterms:modified xsi:type="dcterms:W3CDTF">2018-03-02T17:02:00Z</dcterms:modified>
</cp:coreProperties>
</file>